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ie9MDAAAAAAAAALfH8veP9eqzNiMBAAAAAACAw6yX&#10;PgewGQkAAAAAAAAcZPnX9eoiKUYCAAAAAAAAB1mXdWZZZ13WWZarz3tMKwAAAAAAAHCwdWZmOew5&#10;rTYjAQAAAAAAgOtZlzlkNVKMBAAAAAAAAA6yLMscLcscbTaziJEAAAAAAADAu3C8XebJo3vz5acP&#10;5psXJ2IkAAAAAAAA8G7cO1rm8YfbefH0/nz9+cPZbDZX3nP1CQAAAAAAAIC3IE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H+xZ8cCAAAAAIP8rUex&#10;rzQC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BAlHRGAAAcJUlEQVQ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Bq7w52&#10;oobCAIze6piwYKUslKUEeAHf/7GMcVMXilYznbQDXxQ5JyHMlPZOOyy//C0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mIkAAAAAAAAkBAjAQAAAAAAgIQYCQAAAAAAACTESAAAAAAAACAhRgIAAAAAAAAJMRIA&#10;AAAAAABIiJEAAAAAAABAQowEAAAAAAAAEmIkAAAAAAAAkBAjAQAAAAAAgIQYCQAAAAAAACTESAAA&#10;AAAAACAhRgIAAAAAAAAJMRIAAAAAAABIiJ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QowEAAAAAAAAEmIkAAA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mIkAAAAAAAAkBAjAQAAAAAAgIQYCQAAAAAAACTESAAAAAAAACAhRgIAAAAAAAAJMRIA&#10;AAAAAABIiJEAAAAAAABAQowEAAAAAAAAEmIkAAAAAAAAkBAjAQAAAAAAgIQYCQAAAAAAACTESAAA&#10;AAAAACAhRgIAAAAAAAAJMRIAAAAAAABIiJ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QowEAAAAAAAAEmIkAAA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6dcCAGRycy9tZWRpYS9pbWFn&#10;ZTUucG5nUEsBAhQAFAAAAAgAh07iQOBdh7CVAAAAkAAAABQAAAAAAAAAAQAgAAAAItcCAGRycy9t&#10;ZWRpYS9pbWFnZTYucG5nUEsBAhQAFAAAAAgAh07iQKPm/Eh9AAAAeAAAABQAAAAAAAAAAQAgAAAA&#10;ZBUDAGRycy9tZWRpYS9pbWFnZTcucG5nUEsBAhQAFAAAAAgAh07iQOJe82WBAAAAfAAAABQAAAAA&#10;AAAAAQAgAAAAsRQ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7</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129</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7</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7</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55EC73BE">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_Toc25047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_Toc25047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001A7D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bookmarkStart w:id="159" w:name="_GoBack"/>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_Toc11669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国家知识产权局发布《商标注册申请快速审查办法》</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_Toc11669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EF437C1">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_Toc29245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公安部印发实施《关于依法打击知识产权犯罪服务高质量发展的意见》</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_Toc29245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bookmarkEnd w:id="159"/>
        <w:p w14:paraId="183840FB">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_Toc16844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国外特别关注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_Toc16844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6</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28DF0B6D">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_Toc31487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美国专利商标局推出</w:t>
          </w:r>
          <w:r>
            <w:rPr>
              <w:rStyle w:val="19"/>
              <w:rFonts w:hint="eastAsia" w:ascii="Times New Roman" w:hAnsi="Times New Roman" w:eastAsia="楷体" w:cs="Times New Roman"/>
              <w:bCs/>
              <w:lang w:val="en-US" w:eastAsia="zh-CN"/>
            </w:rPr>
            <w:t>外观设计</w:t>
          </w:r>
          <w:r>
            <w:rPr>
              <w:rStyle w:val="19"/>
              <w:rFonts w:hint="default" w:ascii="Times New Roman" w:hAnsi="Times New Roman" w:eastAsia="楷体" w:cs="Times New Roman"/>
              <w:bCs/>
              <w:lang w:val="en-US" w:eastAsia="zh-CN"/>
            </w:rPr>
            <w:t>专利审查人工智能工具</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_Toc31487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29B7C1C">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_Toc5748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欧盟发布《通用人工智能实践准则》</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_Toc5748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0CFB74D">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_Toc29396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_Toc29396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10</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63065FCC">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_Toc1447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算法服务提供者版权过滤义务的理论证成与规范构造</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_Toc1447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85EFCF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_Toc30920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人工智能生成内容可版权性的认定方法研究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_Toc30920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14AE3A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_Toc29256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专利侵权损害赔偿计算体系与方法的重塑</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_Toc29256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9114EC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_Toc19471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人工智能训练侵犯作品复制权吗?</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_Toc19471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86412F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_Toc28436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论驰名商标淡化侵权的抗辩事由</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_Toc28436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00A182C">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_Toc11108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_Toc11108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14</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0A4CDE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_Toc8966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专利审批体制改革与企业关键核心技术突破：来自专利快速预审制度的经验证据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_Toc8966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E3A91D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_Toc8285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知识产权保护对企业数字技术创新的影响效应研究——来自中国上市公司的证据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_Toc8285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59A75D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_Toc32216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知识产权司法保护对区域技术创新质量的影响</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_Toc32216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FB6B68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_Toc7767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面向解决“卡脖子”技术困境的关键专利识别研究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_Toc7767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E772FE">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_Toc9654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外国企业在华专利独占性的技术路径依赖效应：来自集成电路制造业的证据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_Toc9654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E00B5FB">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_Toc23028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外文法学类核心期刊知识产权文章摘编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_Toc23028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18</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400D7BE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_Toc3930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w:t>
          </w:r>
          <w:r>
            <w:rPr>
              <w:rStyle w:val="19"/>
              <w:rFonts w:hint="eastAsia" w:ascii="Times New Roman" w:hAnsi="Times New Roman" w:eastAsia="楷体" w:cs="Times New Roman"/>
              <w:bCs/>
              <w:lang w:val="en-US" w:eastAsia="zh-CN"/>
            </w:rPr>
            <w:t>Regulating Hidden AI Authorship</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_Toc3930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45353CD">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_Toc9526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w:t>
          </w:r>
          <w:r>
            <w:rPr>
              <w:rStyle w:val="19"/>
              <w:rFonts w:hint="default" w:ascii="Times New Roman" w:hAnsi="Times New Roman" w:eastAsia="楷体" w:cs="Times New Roman"/>
              <w:bCs/>
              <w:lang w:val="en-US" w:eastAsia="zh-CN"/>
            </w:rPr>
            <w:t>. Access Revisited: A</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 Training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t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Intersection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Copyright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nd Cybercrime Laws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_Toc9526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BFA881A">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_Toc31783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w:t>
          </w:r>
          <w:r>
            <w:rPr>
              <w:rStyle w:val="19"/>
              <w:rFonts w:hint="default" w:ascii="Times New Roman" w:hAnsi="Times New Roman" w:eastAsia="楷体" w:cs="Times New Roman"/>
              <w:bCs/>
              <w:lang w:val="en-US" w:eastAsia="zh-CN"/>
            </w:rPr>
            <w:t xml:space="preserve">. Choosing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Lesser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Two Evils: Reevaluating Absolute Protection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f Geographical Indications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_Toc31783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1CF2AA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_Toc15802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Late Disclosures of Federal Funding in US Patents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_Toc15802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C9A91F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_Toc13821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w:t>
          </w:r>
          <w:r>
            <w:rPr>
              <w:rStyle w:val="19"/>
              <w:rFonts w:hint="default" w:ascii="Times New Roman" w:hAnsi="Times New Roman" w:eastAsia="楷体" w:cs="Times New Roman"/>
              <w:bCs/>
              <w:lang w:val="en-US" w:eastAsia="zh-CN"/>
            </w:rPr>
            <w:t>. Demand-</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ide Frameworks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or Patented Inventions: Analysing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Licences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Right System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nd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he F</w:t>
          </w:r>
          <w:r>
            <w:rPr>
              <w:rStyle w:val="19"/>
              <w:rFonts w:hint="eastAsia" w:ascii="Times New Roman" w:hAnsi="Times New Roman" w:eastAsia="楷体" w:cs="Times New Roman"/>
              <w:bCs/>
              <w:lang w:val="en-US" w:eastAsia="zh-CN"/>
            </w:rPr>
            <w:t>RAND</w:t>
          </w:r>
          <w:r>
            <w:rPr>
              <w:rStyle w:val="19"/>
              <w:rFonts w:hint="default" w:ascii="Times New Roman" w:hAnsi="Times New Roman" w:eastAsia="楷体" w:cs="Times New Roman"/>
              <w:bCs/>
              <w:lang w:val="en-US" w:eastAsia="zh-CN"/>
            </w:rPr>
            <w:t xml:space="preserve"> Licensing System</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_Toc13821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8EDC69E">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_Toc9646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_Toc9646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22</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5FB6B9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_Toc24289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Autonomous Inventions, Problem Formulation,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nd Inventive Outcomes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_Toc24289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D47C86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_Toc9574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2. The Global Knowledge Evolution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Carbon Capture, Utilization,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nd Storage Technology: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 Network Analysis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f Patent Mining</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_Toc9574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089037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_Toc6828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How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oes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ixed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wnership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mpact </w:t>
          </w:r>
          <w:r>
            <w:rPr>
              <w:rStyle w:val="19"/>
              <w:rFonts w:hint="eastAsia" w:ascii="Times New Roman" w:hAnsi="Times New Roman" w:eastAsia="楷体" w:cs="Times New Roman"/>
              <w:bCs/>
              <w:lang w:val="en-US" w:eastAsia="zh-CN"/>
            </w:rPr>
            <w:t>U</w:t>
          </w:r>
          <w:r>
            <w:rPr>
              <w:rStyle w:val="19"/>
              <w:rFonts w:hint="default" w:ascii="Times New Roman" w:hAnsi="Times New Roman" w:eastAsia="楷体" w:cs="Times New Roman"/>
              <w:bCs/>
              <w:lang w:val="en-US" w:eastAsia="zh-CN"/>
            </w:rPr>
            <w:t xml:space="preserve">niversity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echnology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ommercialization? Evidence from China</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_Toc6828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DFBF48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_Toc17095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Dances </w:t>
          </w:r>
          <w:r>
            <w:rPr>
              <w:rStyle w:val="19"/>
              <w:rFonts w:hint="eastAsia" w:ascii="Times New Roman" w:hAnsi="Times New Roman" w:eastAsia="楷体" w:cs="Times New Roman"/>
              <w:bCs/>
              <w:lang w:val="en-US" w:eastAsia="zh-CN"/>
            </w:rPr>
            <w:t>w</w:t>
          </w:r>
          <w:r>
            <w:rPr>
              <w:rStyle w:val="19"/>
              <w:rFonts w:hint="default" w:ascii="Times New Roman" w:hAnsi="Times New Roman" w:eastAsia="楷体" w:cs="Times New Roman"/>
              <w:bCs/>
              <w:lang w:val="en-US" w:eastAsia="zh-CN"/>
            </w:rPr>
            <w:t xml:space="preserve">ith Avatar: How Creators Can Reduce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Novelty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Their Work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o Achieve More Creative Success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_Toc17095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615602E">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_Toc19291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Fostering Creativity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hrough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Exploitation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Scientific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nd Technological Knowledge</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_Toc19291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5C1D27C">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_Toc9442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_Toc9442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27</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05DF86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_Toc7351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理论、历史与实践</w:t>
          </w:r>
          <w:r>
            <w:rPr>
              <w:rStyle w:val="19"/>
              <w:rFonts w:hint="eastAsia" w:ascii="Times New Roman" w:hAnsi="Times New Roman" w:eastAsia="楷体" w:cs="Times New Roman"/>
              <w:bCs/>
              <w:lang w:val="en-US" w:eastAsia="zh-CN"/>
            </w:rPr>
            <w:t>：</w:t>
          </w:r>
          <w:r>
            <w:rPr>
              <w:rStyle w:val="19"/>
              <w:rFonts w:hint="default" w:ascii="Times New Roman" w:hAnsi="Times New Roman" w:eastAsia="楷体" w:cs="Times New Roman"/>
              <w:bCs/>
              <w:lang w:val="en-US" w:eastAsia="zh-CN"/>
            </w:rPr>
            <w:t>知识产权领域国家安全治理的三重逻辑</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_Toc7351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3EF6F1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_Toc19818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生成式人工智能驱动下企业数据商业秘密保护制度调适</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_Toc19818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A18182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_Toc17006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 数据作为知识产权客体的思辨与模式选择</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_Toc17006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p>
    <w:p w14:paraId="7B65C06C">
      <w:pPr>
        <w:pStyle w:val="2"/>
        <w:spacing w:before="300" w:line="360" w:lineRule="auto"/>
        <w:jc w:val="center"/>
        <w:rPr>
          <w:highlight w:val="none"/>
        </w:rPr>
      </w:pPr>
      <w:bookmarkStart w:id="0" w:name="_Toc17626"/>
      <w:bookmarkStart w:id="1" w:name="_Toc13804"/>
      <w:bookmarkStart w:id="2" w:name="_Toc27890"/>
      <w:bookmarkStart w:id="3" w:name="_Toc105607341"/>
      <w:bookmarkStart w:id="4" w:name="_Toc14318"/>
      <w:bookmarkStart w:id="5" w:name="_Toc25047"/>
      <w:bookmarkStart w:id="6" w:name="_国内特别关注"/>
      <w:bookmarkStart w:id="7" w:name="_Hlk97586462"/>
      <w:r>
        <w:rPr>
          <w:rFonts w:hint="eastAsia"/>
          <w:highlight w:val="none"/>
        </w:rPr>
        <w:t>国内特别关注</w:t>
      </w:r>
      <w:bookmarkEnd w:id="0"/>
      <w:bookmarkEnd w:id="1"/>
      <w:bookmarkEnd w:id="2"/>
      <w:bookmarkEnd w:id="3"/>
      <w:bookmarkEnd w:id="4"/>
      <w:bookmarkEnd w:id="5"/>
    </w:p>
    <w:bookmarkEnd w:id="6"/>
    <w:bookmarkEnd w:id="7"/>
    <w:p w14:paraId="422243A0">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Times New Roman" w:hAnsi="Times New Roman" w:eastAsia="楷体" w:cs="楷体"/>
          <w:color w:val="000000"/>
          <w:highlight w:val="none"/>
          <w:lang w:val="en-US" w:eastAsia="zh-CN"/>
        </w:rPr>
      </w:pPr>
      <w:bookmarkStart w:id="8" w:name="_Toc11669"/>
      <w:bookmarkStart w:id="9" w:name="_Hlk101799435"/>
      <w:r>
        <w:rPr>
          <w:rFonts w:hint="eastAsia" w:ascii="方正小标宋_GBK" w:hAnsi="方正小标宋_GBK" w:eastAsia="方正小标宋_GBK" w:cs="方正小标宋_GBK"/>
          <w:bCs/>
          <w:kern w:val="2"/>
          <w:sz w:val="28"/>
          <w:szCs w:val="28"/>
          <w:highlight w:val="none"/>
          <w:lang w:val="en-US" w:eastAsia="zh-CN"/>
        </w:rPr>
        <w:t>国家知识产权局发布《商标注册申请快速审查办法》</w:t>
      </w:r>
      <w:bookmarkEnd w:id="8"/>
    </w:p>
    <w:p w14:paraId="0AFFA6C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2025年7月7日，国家知识产权局发布了新修订的《商标注册申请快速审查办法》。为完善商标审查制度，更好满足市场主体差异化需求，国家知识产权局于2022年发布了《商标注册申请快速审查办法（试行）》，历经2年多的试行，于2024年4月启动修订工作。新修订的《商标注册申请快速审查办法》扩大了商标快速审查的适用范围，丰富了可申请注册商标的类型，于2025年7月7日起正式施行。</w:t>
      </w:r>
    </w:p>
    <w:p w14:paraId="163F05B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《商标注册申请快速审查办法》全文如下：</w:t>
      </w:r>
    </w:p>
    <w:p w14:paraId="55E522AE">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第一条 为了服务国家高质量发展，落实知识产权领域优化创新环境和营商环境改革决策部署，持续提高知识产权审查质量和审查效率，深入实施商标品牌战略，依法快速审查涉及国家利益、社会公共利益或者重大区域发展战略的商标注册申请，创新审查模式、完善审查程序，根据《中华人民共和国商标法》、《中华人民共和国商标法实施条例》的有关规定，结合商标工作实际，制定本办法。</w:t>
      </w:r>
    </w:p>
    <w:p w14:paraId="53A8060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第二条 具有下列情形之一的商标注册申请，可以请求快速审查：</w:t>
      </w:r>
    </w:p>
    <w:p w14:paraId="579A674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（一）涉及商业航天、低空经济、深海科技等国家发展的战略性新兴产业和生物制造、量子科技、具身智能、6G等未来产业，且迫切需要取得商标专用权的；</w:t>
      </w:r>
    </w:p>
    <w:p w14:paraId="23E5D1B2">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（二）涉及国家或省级重大工程、重大项目、重大科技基础设施、重大赛事、重大展会以及重要文化遗产等标志，且商标保护具有紧迫性的；</w:t>
      </w:r>
    </w:p>
    <w:p w14:paraId="6F92361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（三）涉及省级人民政府推动构建的现代化产业体系、围绕发展新质生产力布局的产业链，且商标已经使用的；</w:t>
      </w:r>
    </w:p>
    <w:p w14:paraId="30C0388E">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（四）在特别重大自然灾害、特别重大事故灾难、特别重大公共卫生事件、特别重大社会安全事件等突发公共事件期间，与应对该突发公共事件直接相关的；</w:t>
      </w:r>
    </w:p>
    <w:p w14:paraId="5BF51AB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（五）为服务经济社会高质量发展，推动知识产权强国建设纲要实施确有必要，或者其他对维护国家利益、社会公共利益或者重大区域发展战略具有重大现实意义的。</w:t>
      </w:r>
    </w:p>
    <w:p w14:paraId="34EE04E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第三条 请求快速审查的商标注册申请，应当同时符合以下条件：</w:t>
      </w:r>
    </w:p>
    <w:p w14:paraId="6B1C04D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（一）经全体申请人同意；</w:t>
      </w:r>
    </w:p>
    <w:p w14:paraId="452F62CE">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（二）采用电子申请方式；</w:t>
      </w:r>
    </w:p>
    <w:p w14:paraId="20C5EFB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（三）所申请注册的商标标志为文字、图形、字母、数字或以上要素的组合；</w:t>
      </w:r>
    </w:p>
    <w:p w14:paraId="67159AC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（四）指定商品或服务项目与第二条所列情形密切相关，且为国家知识产权局公开的可接受商品和服务项目名称；</w:t>
      </w:r>
    </w:p>
    <w:p w14:paraId="0593ED4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（五）未提出优先权请求；</w:t>
      </w:r>
    </w:p>
    <w:p w14:paraId="77A5EBD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（六）非集体商标、证明商标的注册申请。</w:t>
      </w:r>
    </w:p>
    <w:p w14:paraId="67238DD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第四条 请求快速审查商标注册申请，应当以纸件形式向国家知识产权局提交以下材料：</w:t>
      </w:r>
    </w:p>
    <w:p w14:paraId="16E50F8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（一）商标注册申请快速审查请求书；</w:t>
      </w:r>
    </w:p>
    <w:p w14:paraId="6EE473F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（二）符合本办法第二条规定的证明材料；</w:t>
      </w:r>
    </w:p>
    <w:p w14:paraId="53F348F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（三）中央和国家机关相关部门、省级人民政府或者其办公厅出具的对快速审查请求的推荐意见；或者省级知识产权管理部门出具的对快速审查请求理由以及相关材料真实性的审核意见。</w:t>
      </w:r>
    </w:p>
    <w:p w14:paraId="1070DFA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第五条 国家知识产权局收到快速审查请求后，对申请材料进行严格审核。对符合本办法规定的，准予快速审查。对不符合本办法规定的，不予快速审查，并在5个工作日内通知快速审查请求人。</w:t>
      </w:r>
    </w:p>
    <w:p w14:paraId="5E3D8454">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第六条 国家知识产权局准予快速审查的，应当在20个工作日内审查完毕。不予快速审查的，按法律规定的一般程序审查。</w:t>
      </w:r>
    </w:p>
    <w:p w14:paraId="2C1F4DF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第七条 在快速审查过程中，发现商标注册申请有下列情形之一的，可以终止快速审查程序：</w:t>
      </w:r>
    </w:p>
    <w:p w14:paraId="43ED26E9">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（一）商标注册申请依法应进行补正、说明或者修正，以及进行同日申请审查程序的；</w:t>
      </w:r>
    </w:p>
    <w:p w14:paraId="16BBED37">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（二）商标注册申请人提出快速审查请求后，又提出暂缓审查请求的；</w:t>
      </w:r>
    </w:p>
    <w:p w14:paraId="2E060E3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（三）存在其他无法予以快速审查情形的。</w:t>
      </w:r>
    </w:p>
    <w:p w14:paraId="0A6C39E5">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第八条 快速审查的商标注册申请在依法作出审查决定后，依照法律有关规定，相关主体可以对初步审定公告的商标注册申请提出异议，对驳回或部分驳回的商标注册申请提出驳回复审。</w:t>
      </w:r>
    </w:p>
    <w:p w14:paraId="4702192B">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第九条 国家知识产权局处理商标注册申请快速审查应当严格依法履职、秉公用权，接受纪检监察部门监督，确保快速审查工作在监督下规范透明运行。</w:t>
      </w:r>
    </w:p>
    <w:p w14:paraId="6DB9CF0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第十条 本办法由国家知识产权局负责解释。国家知识产权局商标局承担商标注册申请快速审查的具体工作。</w:t>
      </w:r>
    </w:p>
    <w:p w14:paraId="4081ECD4">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第十一条 本办法自发布之日起施行。其他有关商标注册申请快速审查的规定，凡与本办法相抵触的以本办法为准。原《商标注册申请快速审查办法（试行）》（国家知识产权局第四六七号公告）同时废止。</w:t>
      </w:r>
    </w:p>
    <w:p w14:paraId="64F74990">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此外，《商标注册申请快速审查办法》还包括《商标注册申请快速审查请求书》《商标注册申请快速审查办事指南》两大附件。</w:t>
      </w:r>
    </w:p>
    <w:p w14:paraId="4BF5BCE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（来源：https://www.cnipa.gov.cn/art/2025/7/18/art_74_200690.html</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highlight w:val="none"/>
          <w:u w:val="none"/>
          <w:lang w:eastAsia="zh-CN"/>
        </w:rPr>
      </w:pPr>
      <w:r>
        <w:rPr>
          <w:rFonts w:hint="eastAsia" w:ascii="Times New Roman" w:hAnsi="Times New Roman" w:eastAsia="楷体" w:cs="Times New Roman"/>
          <w:color w:val="0070C0"/>
          <w:sz w:val="21"/>
          <w:szCs w:val="21"/>
          <w:highlight w:val="none"/>
          <w:lang w:val="en-US" w:eastAsia="zh-CN"/>
        </w:rPr>
        <w:t>《商标注册申请快速审查办法》全文：https://www.cnipa.gov.cn/module/download/downfile.jsp?classid=0&amp;showname=%E5%95%86%E6%A0%87%E6%B3%A8%E5%86%8C%E7%94%B3%E8%AF%B7%E5%BF%AB%E9%80%9F%E5%AE%A1%E6%9F%A5%E5%8A%9E%E6%B3%95.pdf&amp;filename=b46aa76f262a4c8cabb426095cdcd814.pdf）</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highlight w:val="none"/>
          <w:lang w:eastAsia="zh-CN"/>
        </w:rPr>
      </w:pPr>
      <w:r>
        <w:rPr>
          <w:rFonts w:hint="eastAsia" w:ascii="Times New Roman" w:hAnsi="Times New Roman" w:eastAsia="楷体" w:cs="楷体"/>
          <w:b/>
          <w:bCs/>
          <w:color w:val="000000"/>
          <w:sz w:val="28"/>
          <w:highlight w:val="none"/>
          <w:lang w:eastAsia="zh-CN"/>
        </w:rPr>
        <w:br w:type="page"/>
      </w:r>
    </w:p>
    <w:p w14:paraId="53354746">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Times New Roman" w:hAnsi="Times New Roman" w:eastAsia="楷体" w:cs="Times New Roman"/>
          <w:color w:val="000000"/>
          <w:highlight w:val="none"/>
          <w:lang w:val="en-US" w:eastAsia="zh-CN"/>
        </w:rPr>
      </w:pPr>
      <w:bookmarkStart w:id="10" w:name="_Toc29245"/>
      <w:r>
        <w:rPr>
          <w:rFonts w:hint="eastAsia" w:ascii="方正小标宋_GBK" w:hAnsi="方正小标宋_GBK" w:eastAsia="方正小标宋_GBK" w:cs="方正小标宋_GBK"/>
          <w:b w:val="0"/>
          <w:bCs/>
          <w:kern w:val="2"/>
          <w:sz w:val="28"/>
          <w:szCs w:val="28"/>
          <w:highlight w:val="none"/>
          <w:lang w:val="en-US" w:eastAsia="zh-CN"/>
        </w:rPr>
        <w:t>公安部印发实施《关于依法打击知识产权犯罪服务高质量发展的意见》</w:t>
      </w:r>
      <w:bookmarkEnd w:id="10"/>
    </w:p>
    <w:p w14:paraId="1A2D667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为深入贯彻落实党中央决策部署，认真落实《中共中央关于推进公安工作现代化的意见》的要求，高标准做好知识产权保护工作，高质量服务经济社会发展，2025年7月16日，公安部印发实施《关于依法打击知识产权犯罪服务高质量发展的意见》（以下简称《意见》）。</w:t>
      </w:r>
    </w:p>
    <w:p w14:paraId="336CC5E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《意见》明确，要向保护科技创新精准发力，深入开展防范打击商业秘密犯罪</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安芯</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专项工作，依法严厉打击侵犯商业秘密犯罪，助力因地制宜发展新质生产力。要向推动产业发展精准发力，依法严厉打击制造业、生产性服务业、消费品领域侵权假冒犯罪，助推现代化产业体系建设。要向促进文化繁荣精准发力，依法严厉打击各类侵权盗版犯罪，促进文化产业创新发展。要向守护民生安全精准发力，依法严厉打击食品药品领域多发性犯罪，消防器材、建筑材料、电气设备等领域危害生产生活安全的假冒伪劣犯罪，涉种子、化肥等套牌侵权犯罪，以及制售假烟犯罪，坚决维护人民群众生命健康安全。</w:t>
      </w:r>
    </w:p>
    <w:p w14:paraId="5D95A5C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意见》提出，要完善打击模式，对知识产权犯罪实施精准打击、深度打击、规模打击、联动打击，提升全环节、全要素、全链条打击质效。要推行主动警务、预防警务，建立健全常态化警企联系服务机制，强化法治服务精准供给。要依托知识产权强国建设等机制，加强部门协作配合，推动源头治理、综合治理。要围绕</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国际消费者权益日</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世界知识产权日</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等重要节点，集中开展法治宣传教育，将企业群众的关心关注转化为发现问题、推动工作的源头活水。要发挥双多边机制作用，深化国际执法合作，推动完善涉外知识产权法治体系，强化涉外知识产权保护。</w:t>
      </w:r>
    </w:p>
    <w:p w14:paraId="69F0FFC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意见》强调，要加强法制建设，实现打击知识产权犯罪工作与科技、产业和经贸等战略部署、重大任务政策协同、目标协同。要严格执行接报案与立案、跨省涉企案件管辖、强制措施适用、涉案财物查封扣押冻结、异地办案协作等规定，提升专业化、规范化执法水平。要深入开展涉企执法突出问题专项治理，加强办案质效评估和执法质量监督。要会同有关部门完善鉴定检验工作制度，建立跨部门专家共享制度，带动提升侦查办案能力水平。</w:t>
      </w:r>
    </w:p>
    <w:p w14:paraId="16C2505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意见》要求，要全面构建职能科学、事权清晰、指挥顺畅、运行高效的知识产权犯罪侦查机构职能体系，做专做强专业力量。要常态化开展培训练兵，建好用好专家人才队伍，提升专业能力。要依托新型警务运行模式，构建高效协同的工作格局，深化全方位、各领域、多层次警务协作。要推进大数据智能化建设应用，加快提升知识产权保护工作智能化数据化水平。</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w:t>
      </w:r>
      <w:r>
        <w:rPr>
          <w:rFonts w:hint="eastAsia" w:ascii="Times New Roman" w:hAnsi="Times New Roman" w:eastAsia="楷体" w:cs="Times New Roman"/>
          <w:color w:val="0070C0"/>
          <w:sz w:val="21"/>
          <w:szCs w:val="21"/>
          <w:highlight w:val="none"/>
          <w:lang w:val="en-US" w:eastAsia="zh-CN"/>
        </w:rPr>
        <w:fldChar w:fldCharType="begin"/>
      </w:r>
      <w:r>
        <w:rPr>
          <w:rFonts w:hint="eastAsia" w:ascii="Times New Roman" w:hAnsi="Times New Roman" w:eastAsia="楷体" w:cs="Times New Roman"/>
          <w:color w:val="0070C0"/>
          <w:sz w:val="21"/>
          <w:szCs w:val="21"/>
          <w:highlight w:val="none"/>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highlight w:val="none"/>
          <w:lang w:val="en-US" w:eastAsia="zh-CN"/>
        </w:rPr>
        <w:fldChar w:fldCharType="separate"/>
      </w:r>
      <w:r>
        <w:rPr>
          <w:rFonts w:hint="eastAsia" w:ascii="Times New Roman" w:hAnsi="Times New Roman" w:eastAsia="楷体" w:cs="Times New Roman"/>
          <w:color w:val="0070C0"/>
          <w:sz w:val="21"/>
          <w:szCs w:val="21"/>
          <w:highlight w:val="none"/>
          <w:lang w:val="en-US" w:eastAsia="zh-CN"/>
        </w:rPr>
        <w:t>https://www.mps.gov.cn/n2253534/n2253535/c10144918/content.html）</w:t>
      </w:r>
    </w:p>
    <w:p w14:paraId="31C383C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jc w:val="both"/>
        <w:textAlignment w:val="auto"/>
        <w:rPr>
          <w:rFonts w:hint="eastAsia"/>
          <w:highlight w:val="none"/>
        </w:rPr>
      </w:pPr>
      <w:r>
        <w:rPr>
          <w:rFonts w:hint="eastAsia" w:ascii="Times New Roman" w:hAnsi="Times New Roman" w:eastAsia="楷体" w:cs="Times New Roman"/>
          <w:color w:val="0070C0"/>
          <w:sz w:val="21"/>
          <w:szCs w:val="21"/>
          <w:highlight w:val="none"/>
          <w:lang w:val="en-US" w:eastAsia="zh-CN"/>
        </w:rPr>
        <w:fldChar w:fldCharType="end"/>
      </w:r>
      <w:bookmarkStart w:id="11" w:name="_Toc105607344"/>
      <w:r>
        <w:rPr>
          <w:rFonts w:hint="eastAsia"/>
          <w:highlight w:val="none"/>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highlight w:val="none"/>
        </w:rPr>
      </w:pPr>
      <w:bookmarkStart w:id="12" w:name="_Toc9523"/>
      <w:bookmarkStart w:id="13" w:name="_Toc5741"/>
      <w:bookmarkStart w:id="14" w:name="_Toc32298"/>
      <w:bookmarkStart w:id="15" w:name="_Toc10990"/>
      <w:bookmarkStart w:id="16" w:name="_Toc16844"/>
      <w:r>
        <w:rPr>
          <w:rFonts w:hint="eastAsia"/>
          <w:highlight w:val="none"/>
        </w:rPr>
        <w:t>国外特别关注</w:t>
      </w:r>
      <w:bookmarkEnd w:id="11"/>
      <w:bookmarkEnd w:id="12"/>
      <w:bookmarkEnd w:id="13"/>
      <w:bookmarkEnd w:id="14"/>
      <w:bookmarkEnd w:id="15"/>
      <w:bookmarkEnd w:id="16"/>
    </w:p>
    <w:p w14:paraId="1745CB5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highlight w:val="none"/>
          <w:lang w:val="en-US" w:eastAsia="zh-CN"/>
        </w:rPr>
      </w:pPr>
      <w:bookmarkStart w:id="17" w:name="_Toc31487"/>
      <w:r>
        <w:rPr>
          <w:rFonts w:hint="default" w:ascii="Times New Roman" w:hAnsi="Times New Roman" w:eastAsia="方正小标宋_GBK" w:cs="Times New Roman"/>
          <w:bCs/>
          <w:kern w:val="2"/>
          <w:sz w:val="28"/>
          <w:szCs w:val="28"/>
          <w:highlight w:val="none"/>
          <w:lang w:val="en-US" w:eastAsia="zh-CN"/>
        </w:rPr>
        <w:t>美国专利商标局推出</w:t>
      </w:r>
      <w:r>
        <w:rPr>
          <w:rFonts w:hint="eastAsia" w:ascii="Times New Roman" w:hAnsi="Times New Roman" w:eastAsia="方正小标宋_GBK" w:cs="Times New Roman"/>
          <w:bCs/>
          <w:kern w:val="2"/>
          <w:sz w:val="28"/>
          <w:szCs w:val="28"/>
          <w:highlight w:val="none"/>
          <w:lang w:val="en-US" w:eastAsia="zh-CN"/>
        </w:rPr>
        <w:t>外观设计</w:t>
      </w:r>
      <w:r>
        <w:rPr>
          <w:rFonts w:hint="default" w:ascii="Times New Roman" w:hAnsi="Times New Roman" w:eastAsia="方正小标宋_GBK" w:cs="Times New Roman"/>
          <w:bCs/>
          <w:kern w:val="2"/>
          <w:sz w:val="28"/>
          <w:szCs w:val="28"/>
          <w:highlight w:val="none"/>
          <w:lang w:val="en-US" w:eastAsia="zh-CN"/>
        </w:rPr>
        <w:t>专利审查人工智能工具</w:t>
      </w:r>
      <w:bookmarkEnd w:id="17"/>
    </w:p>
    <w:p w14:paraId="5250EF1D">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2025年7月17日，美国专利商标局（USPTO）宣布正在将基于人工智能（AI）的图像搜索工具“设计视图”（Design Vision）添加至专利全流程（PE2E）搜索套件中，以提升现有技术搜索的效率和效果。当审查员使用Design Vision进行检索时，与检索查询和检索结果相关的详细信息将通过在申请文件夹的检索备注和检索历史摘要报告中记录的方式，向申请人及公众披露。USPTO已将该搜索工具提供给设计专利审查员，用于在设计专利审查过程中进行现有技术搜索。USPTO可根据自身判断，在未来向其他审查员（如实用专利审查员）提供该搜索工具。</w:t>
      </w:r>
    </w:p>
    <w:p w14:paraId="27E6B95F">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b/>
          <w:bCs/>
          <w:color w:val="000000"/>
          <w:sz w:val="22"/>
          <w:szCs w:val="22"/>
          <w:highlight w:val="none"/>
          <w:lang w:val="en-US" w:eastAsia="zh-CN" w:bidi="ar-SA"/>
        </w:rPr>
        <w:t>1.“设计视图”（Design Vision）</w:t>
      </w:r>
    </w:p>
    <w:p w14:paraId="4446044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设计</w:t>
      </w:r>
      <w:r>
        <w:rPr>
          <w:rFonts w:hint="eastAsia" w:ascii="Times New Roman" w:hAnsi="Times New Roman" w:eastAsia="楷体" w:cs="Times New Roman"/>
          <w:color w:val="000000"/>
          <w:highlight w:val="none"/>
          <w:lang w:val="en-US" w:eastAsia="zh-CN"/>
        </w:rPr>
        <w:t>视图</w:t>
      </w:r>
      <w:r>
        <w:rPr>
          <w:rFonts w:hint="default" w:ascii="Times New Roman" w:hAnsi="Times New Roman" w:eastAsia="楷体" w:cs="Times New Roman"/>
          <w:color w:val="000000"/>
          <w:highlight w:val="none"/>
          <w:lang w:val="en-US" w:eastAsia="zh-CN"/>
        </w:rPr>
        <w:t>是一款基于人工智能的图像搜索工具，专为美国专利商标局（USPTO）定制，旨在通过使用图像作为查询条件，协助并提升USPTO审查员的图像搜索能力。该工具提供集中式访问和联合搜索功能，使审查员能够通过单一搜索界面同时查询多个数据源，包括来自全球80多个注册机构的设计专利、注册商标、商标和工业设计，其中包括世界知识产权组织（WIPO）、欧洲联盟知识产权局（EUIPO）及其他外国知识产权机构。该工具将审查员上传的查询图像与可用数据库进行比对，并根据图像相似性返回可排序的搜索结果。</w:t>
      </w:r>
    </w:p>
    <w:p w14:paraId="5FDBF6F3">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该工具的独特功能包括：可选择多达七张上传图像作为搜索查询、用户可控制的视觉特征权重、用户可控制的对搜索图像特定特征的聚焦，以及文本和分类过滤器。</w:t>
      </w:r>
    </w:p>
    <w:p w14:paraId="357CF801">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设计</w:t>
      </w:r>
      <w:r>
        <w:rPr>
          <w:rFonts w:hint="eastAsia" w:ascii="Times New Roman" w:hAnsi="Times New Roman" w:eastAsia="楷体" w:cs="Times New Roman"/>
          <w:color w:val="000000"/>
          <w:highlight w:val="none"/>
          <w:lang w:val="en-US" w:eastAsia="zh-CN"/>
        </w:rPr>
        <w:t>视图</w:t>
      </w:r>
      <w:r>
        <w:rPr>
          <w:rFonts w:hint="default" w:ascii="Times New Roman" w:hAnsi="Times New Roman" w:eastAsia="楷体" w:cs="Times New Roman"/>
          <w:color w:val="000000"/>
          <w:highlight w:val="none"/>
          <w:lang w:val="en-US" w:eastAsia="zh-CN"/>
        </w:rPr>
        <w:t>增强了设计专利审查员现有的其他搜索工具，但并不取代这些工具。为确保数据安全并维护专利申请的保密性（符合35 U.S.C. § 122(a)规定），美国专利商标局（USPTO）已实施国家标准与技术研究院（NIST）的安全控制措施，并通过联邦风险与授权管理计划（FedRAMP）授权的云服务在该工具中运行搜索查询。</w:t>
      </w:r>
    </w:p>
    <w:p w14:paraId="25F5B858">
      <w:pPr>
        <w:keepNext w:val="0"/>
        <w:keepLines w:val="0"/>
        <w:pageBreakBefore w:val="0"/>
        <w:widowControl w:val="0"/>
        <w:numPr>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eastAsia" w:ascii="Times New Roman" w:hAnsi="Times New Roman" w:eastAsia="楷体" w:cs="Times New Roman"/>
          <w:b/>
          <w:bCs/>
          <w:color w:val="000000"/>
          <w:sz w:val="22"/>
          <w:szCs w:val="22"/>
          <w:highlight w:val="none"/>
          <w:lang w:val="en-US" w:eastAsia="zh-CN" w:bidi="ar-SA"/>
        </w:rPr>
      </w:pPr>
      <w:r>
        <w:rPr>
          <w:rFonts w:hint="eastAsia" w:ascii="Times New Roman" w:hAnsi="Times New Roman" w:eastAsia="楷体" w:cs="Times New Roman"/>
          <w:b/>
          <w:bCs/>
          <w:color w:val="000000"/>
          <w:sz w:val="22"/>
          <w:szCs w:val="22"/>
          <w:highlight w:val="none"/>
          <w:lang w:val="en-US" w:eastAsia="zh-CN" w:bidi="ar-SA"/>
        </w:rPr>
        <w:t>2.搜索记录</w:t>
      </w:r>
    </w:p>
    <w:p w14:paraId="557BDE93">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为了确保对每项申请的审查员所进行的检索和考虑内容有完整、准确且统一的记录，美国专利商标局（USPTO）已制定了在申请文件中记录设计检索数据的程序。这些程序与《专利审查程序手册》（MPEP）修订版01.2024（2024年11月）第719.05节中描述的当前检索记录实践一致。</w:t>
      </w:r>
    </w:p>
    <w:p w14:paraId="483A7997">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当审查员在专利申请检索过程中使用</w:t>
      </w:r>
      <w:r>
        <w:rPr>
          <w:rFonts w:hint="eastAsia" w:ascii="Times New Roman" w:hAnsi="Times New Roman" w:eastAsia="楷体" w:cs="Times New Roman"/>
          <w:color w:val="000000"/>
          <w:highlight w:val="none"/>
          <w:lang w:val="en-US" w:eastAsia="zh-CN"/>
        </w:rPr>
        <w:t>设计视图（</w:t>
      </w:r>
      <w:r>
        <w:rPr>
          <w:rFonts w:hint="default" w:ascii="Times New Roman" w:hAnsi="Times New Roman" w:eastAsia="楷体" w:cs="Times New Roman"/>
          <w:color w:val="000000"/>
          <w:highlight w:val="none"/>
          <w:lang w:val="en-US" w:eastAsia="zh-CN"/>
        </w:rPr>
        <w:t>Design Vision</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时，审查员的</w:t>
      </w:r>
      <w:r>
        <w:rPr>
          <w:rFonts w:hint="eastAsia" w:ascii="Times New Roman" w:hAnsi="Times New Roman" w:eastAsia="楷体" w:cs="Times New Roman"/>
          <w:color w:val="000000"/>
          <w:highlight w:val="none"/>
          <w:lang w:val="en-US" w:eastAsia="zh-CN"/>
        </w:rPr>
        <w:t>专利全流程（</w:t>
      </w:r>
      <w:r>
        <w:rPr>
          <w:rFonts w:hint="default" w:ascii="Times New Roman" w:hAnsi="Times New Roman" w:eastAsia="楷体" w:cs="Times New Roman"/>
          <w:color w:val="000000"/>
          <w:highlight w:val="none"/>
          <w:lang w:val="en-US" w:eastAsia="zh-CN"/>
        </w:rPr>
        <w:t>PE2E</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检索历史记录将明确显示该工具已被使用，以便公众在审查员的检索工作至少部分使用了人工智能工具时获得充分通知。为了准确记录所进行的检索，申请文件夹中的检索笔记表的检索笔记部分将指出申请中哪些图像被用作查询。此外，检索历史摘要报告（也称为检索历史打印件，见MPEP § 719.05）将指出审查员上传的图像数量、应用于图像查询的任何过滤器以及检索结果。为遵守35 U.S.C. § 122规定的保密要求，尤其在审查员使用单一查询检索多个申请的情况下，审查员上传至工具界面的实际图像均不会包含在检索历史摘要报告中。为进一步提升审查效率，该工具生成的检索历史摘要报告已实现自动化。</w:t>
      </w:r>
    </w:p>
    <w:p w14:paraId="6C7FD27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w:t>
      </w:r>
      <w:r>
        <w:rPr>
          <w:rFonts w:hint="default" w:ascii="Times New Roman" w:hAnsi="Times New Roman" w:eastAsia="楷体" w:cs="Times New Roman"/>
          <w:color w:val="0070C0"/>
          <w:sz w:val="21"/>
          <w:szCs w:val="21"/>
          <w:highlight w:val="none"/>
          <w:u w:val="none"/>
          <w:lang w:eastAsia="zh-CN"/>
        </w:rPr>
        <w:t>https://www.uspto.gov/patents/laws/patent-related-notices/patent-related-notices-2025</w:t>
      </w:r>
      <w:r>
        <w:rPr>
          <w:rFonts w:hint="eastAsia" w:ascii="Times New Roman" w:hAnsi="Times New Roman" w:eastAsia="楷体" w:cs="Times New Roman"/>
          <w:color w:val="0070C0"/>
          <w:sz w:val="21"/>
          <w:szCs w:val="21"/>
          <w:highlight w:val="none"/>
          <w:lang w:eastAsia="zh-CN"/>
        </w:rPr>
        <w:t>）</w:t>
      </w:r>
      <w:r>
        <w:rPr>
          <w:rFonts w:hint="default" w:ascii="Times New Roman" w:hAnsi="Times New Roman" w:eastAsia="楷体" w:cs="Times New Roman"/>
          <w:highlight w:val="none"/>
          <w:lang w:eastAsia="zh-CN"/>
        </w:rPr>
        <w:br w:type="page"/>
      </w:r>
    </w:p>
    <w:p w14:paraId="25E2059D">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highlight w:val="none"/>
          <w:lang w:val="en-US" w:eastAsia="zh-CN"/>
        </w:rPr>
      </w:pPr>
      <w:bookmarkStart w:id="18" w:name="_Toc5748"/>
      <w:r>
        <w:rPr>
          <w:rFonts w:hint="eastAsia" w:ascii="Times New Roman" w:hAnsi="Times New Roman" w:eastAsia="方正小标宋_GBK" w:cs="Times New Roman"/>
          <w:bCs/>
          <w:kern w:val="2"/>
          <w:sz w:val="28"/>
          <w:szCs w:val="28"/>
          <w:highlight w:val="none"/>
          <w:lang w:val="en-US" w:eastAsia="zh-CN"/>
        </w:rPr>
        <w:t>欧盟发布《通用人工智能实践准则》</w:t>
      </w:r>
      <w:bookmarkEnd w:id="18"/>
    </w:p>
    <w:p w14:paraId="161AF767">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eastAsia"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2025年7月10日，欧盟委员会发布《通用人工智能实践准则》（General-Purpose AI Code of Practice，以下简称</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准则</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）的最终版本。该准则由13位独立专家撰写，参考了来自逾千名利益相关方（涵盖模型开发者、中小企业、学者、版权持有者、民间团体等）的反馈</w:t>
      </w:r>
      <w:r>
        <w:rPr>
          <w:rFonts w:hint="eastAsia" w:ascii="Times New Roman" w:hAnsi="Times New Roman" w:eastAsia="楷体" w:cs="Times New Roman"/>
          <w:color w:val="000000"/>
          <w:highlight w:val="none"/>
          <w:lang w:val="en-US" w:eastAsia="zh-CN"/>
        </w:rPr>
        <w:t>，但是准则的</w:t>
      </w:r>
      <w:r>
        <w:rPr>
          <w:rFonts w:hint="default" w:ascii="Times New Roman" w:hAnsi="Times New Roman" w:eastAsia="楷体" w:cs="Times New Roman"/>
          <w:color w:val="000000"/>
          <w:highlight w:val="none"/>
          <w:lang w:val="en-US" w:eastAsia="zh-CN"/>
        </w:rPr>
        <w:t>签署属于自愿行为</w:t>
      </w:r>
      <w:r>
        <w:rPr>
          <w:rFonts w:hint="eastAsia" w:ascii="Times New Roman" w:hAnsi="Times New Roman" w:eastAsia="楷体" w:cs="Times New Roman"/>
          <w:color w:val="000000"/>
          <w:highlight w:val="none"/>
          <w:lang w:val="en-US" w:eastAsia="zh-CN"/>
        </w:rPr>
        <w:t>。该准则旨在帮助行业遵守《人工智能法案》中关于通用人工智能的规则，于2025年8月2日生效。一年后将首先适用于市场上新发布的模型；两年后，现有模型也需全面遵守。这一过渡机制体现了监管与创新之间的平衡理念。</w:t>
      </w:r>
    </w:p>
    <w:p w14:paraId="7DE0B89D">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《准则》共分为三大章节，分别聚焦于透明度、版权、安全与保障，体现了欧盟对通用人工智能（GPAI）技术基础、内容来源与系统性风险的全面治理。</w:t>
      </w:r>
    </w:p>
    <w:p w14:paraId="3B8B0D9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highlight w:val="none"/>
          <w:lang w:val="en-US" w:eastAsia="zh-CN"/>
        </w:rPr>
      </w:pPr>
      <w:r>
        <w:rPr>
          <w:rFonts w:hint="default" w:ascii="Times New Roman" w:hAnsi="Times New Roman" w:eastAsia="楷体" w:cs="Times New Roman"/>
          <w:b/>
          <w:bCs/>
          <w:color w:val="000000"/>
          <w:sz w:val="22"/>
          <w:szCs w:val="22"/>
          <w:highlight w:val="none"/>
          <w:lang w:val="en-US" w:eastAsia="zh-CN" w:bidi="ar-SA"/>
        </w:rPr>
        <w:t>1.</w:t>
      </w:r>
      <w:r>
        <w:rPr>
          <w:rFonts w:hint="default" w:ascii="Times New Roman" w:hAnsi="Times New Roman" w:eastAsia="楷体" w:cs="Times New Roman"/>
          <w:b/>
          <w:bCs/>
          <w:color w:val="000000"/>
          <w:highlight w:val="none"/>
          <w:lang w:val="en-US" w:eastAsia="zh-CN"/>
        </w:rPr>
        <w:t>透明度：标准化信息披露机制</w:t>
      </w:r>
    </w:p>
    <w:p w14:paraId="2A499C0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由于通用人工智能模型是欧盟许多人工智能系统的基础，</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人工智能法案</w:t>
      </w:r>
      <w:r>
        <w:rPr>
          <w:rFonts w:hint="eastAsia" w:ascii="Times New Roman" w:hAnsi="Times New Roman" w:eastAsia="楷体" w:cs="Times New Roman"/>
          <w:color w:val="000000"/>
          <w:highlight w:val="none"/>
          <w:lang w:val="en-US" w:eastAsia="zh-CN"/>
        </w:rPr>
        <w:t>》则</w:t>
      </w:r>
      <w:r>
        <w:rPr>
          <w:rFonts w:hint="default" w:ascii="Times New Roman" w:hAnsi="Times New Roman" w:eastAsia="楷体" w:cs="Times New Roman"/>
          <w:color w:val="000000"/>
          <w:highlight w:val="none"/>
          <w:lang w:val="en-US" w:eastAsia="zh-CN"/>
        </w:rPr>
        <w:t>有助于服务提供商确保足够的透明度。这使提供商能够将这些模型集成到他们的产品中。《</w:t>
      </w:r>
      <w:r>
        <w:rPr>
          <w:rFonts w:hint="eastAsia" w:ascii="Times New Roman" w:hAnsi="Times New Roman" w:eastAsia="楷体" w:cs="Times New Roman"/>
          <w:color w:val="000000"/>
          <w:highlight w:val="none"/>
          <w:lang w:val="en-US" w:eastAsia="zh-CN"/>
        </w:rPr>
        <w:t>准</w:t>
      </w:r>
      <w:r>
        <w:rPr>
          <w:rFonts w:hint="default" w:ascii="Times New Roman" w:hAnsi="Times New Roman" w:eastAsia="楷体" w:cs="Times New Roman"/>
          <w:color w:val="000000"/>
          <w:highlight w:val="none"/>
          <w:lang w:val="en-US" w:eastAsia="zh-CN"/>
        </w:rPr>
        <w:t>则》的透明度章节</w:t>
      </w:r>
      <w:r>
        <w:rPr>
          <w:rFonts w:hint="eastAsia" w:ascii="Times New Roman" w:hAnsi="Times New Roman" w:eastAsia="楷体" w:cs="Times New Roman"/>
          <w:color w:val="000000"/>
          <w:highlight w:val="none"/>
          <w:lang w:val="en-US" w:eastAsia="zh-CN"/>
        </w:rPr>
        <w:t>则</w:t>
      </w:r>
      <w:r>
        <w:rPr>
          <w:rFonts w:hint="default" w:ascii="Times New Roman" w:hAnsi="Times New Roman" w:eastAsia="楷体" w:cs="Times New Roman"/>
          <w:color w:val="000000"/>
          <w:highlight w:val="none"/>
          <w:lang w:val="en-US" w:eastAsia="zh-CN"/>
        </w:rPr>
        <w:t>提供了一个用户友好的模型文档表，使提供商能够轻松地在一个地方记录必要的信息。该表格中每一项信息都标明了其预期接收方：下游提供者、人工智能办公室（AI Office）或国家主管机关。根据《欧盟人工智能法</w:t>
      </w:r>
      <w:r>
        <w:rPr>
          <w:rFonts w:hint="eastAsia" w:ascii="Times New Roman" w:hAnsi="Times New Roman" w:eastAsia="楷体" w:cs="Times New Roman"/>
          <w:color w:val="000000"/>
          <w:highlight w:val="none"/>
          <w:lang w:val="en-US" w:eastAsia="zh-CN"/>
        </w:rPr>
        <w:t>案</w:t>
      </w:r>
      <w:r>
        <w:rPr>
          <w:rFonts w:hint="default" w:ascii="Times New Roman" w:hAnsi="Times New Roman" w:eastAsia="楷体" w:cs="Times New Roman"/>
          <w:color w:val="000000"/>
          <w:highlight w:val="none"/>
          <w:lang w:val="en-US" w:eastAsia="zh-CN"/>
        </w:rPr>
        <w:t>》第78条，任何接收模型文档表格信息的主体均有义务保密所获取的信息，特别是知识产权、商业机密，并应采取充分且有效的网络安全措施，以保障所获取信息的安全性与保密性</w:t>
      </w:r>
      <w:r>
        <w:rPr>
          <w:rFonts w:hint="eastAsia" w:ascii="Times New Roman" w:hAnsi="Times New Roman" w:eastAsia="楷体" w:cs="Times New Roman"/>
          <w:color w:val="000000"/>
          <w:highlight w:val="none"/>
          <w:lang w:val="en-US" w:eastAsia="zh-CN"/>
        </w:rPr>
        <w:t>。透明度章节</w:t>
      </w:r>
      <w:r>
        <w:rPr>
          <w:rFonts w:hint="default" w:ascii="Times New Roman" w:hAnsi="Times New Roman" w:eastAsia="楷体" w:cs="Times New Roman"/>
          <w:color w:val="000000"/>
          <w:highlight w:val="none"/>
          <w:lang w:val="en-US" w:eastAsia="zh-CN"/>
        </w:rPr>
        <w:t>聚焦于《人工智能法</w:t>
      </w:r>
      <w:r>
        <w:rPr>
          <w:rFonts w:hint="eastAsia" w:ascii="Times New Roman" w:hAnsi="Times New Roman" w:eastAsia="楷体" w:cs="Times New Roman"/>
          <w:color w:val="000000"/>
          <w:highlight w:val="none"/>
          <w:lang w:val="en-US" w:eastAsia="zh-CN"/>
        </w:rPr>
        <w:t>案</w:t>
      </w:r>
      <w:r>
        <w:rPr>
          <w:rFonts w:hint="default" w:ascii="Times New Roman" w:hAnsi="Times New Roman" w:eastAsia="楷体" w:cs="Times New Roman"/>
          <w:color w:val="000000"/>
          <w:highlight w:val="none"/>
          <w:lang w:val="en-US" w:eastAsia="zh-CN"/>
        </w:rPr>
        <w:t>》第53条第1款第(a)和(b)项所规定的文档义务，适用于所有通用目的人工智能模型提供者（不影响第53条第2款所规定的例外情形）</w:t>
      </w:r>
      <w:r>
        <w:rPr>
          <w:rFonts w:hint="eastAsia" w:ascii="Times New Roman" w:hAnsi="Times New Roman" w:eastAsia="楷体" w:cs="Times New Roman"/>
          <w:color w:val="000000"/>
          <w:highlight w:val="none"/>
          <w:lang w:val="en-US" w:eastAsia="zh-CN"/>
        </w:rPr>
        <w:t>。</w:t>
      </w:r>
    </w:p>
    <w:p w14:paraId="7B0C2C5B">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sz w:val="22"/>
          <w:szCs w:val="22"/>
          <w:highlight w:val="none"/>
          <w:lang w:val="en-US" w:eastAsia="zh-CN" w:bidi="ar-SA"/>
        </w:rPr>
        <w:t>2.</w:t>
      </w:r>
      <w:r>
        <w:rPr>
          <w:rFonts w:hint="eastAsia" w:ascii="Times New Roman" w:hAnsi="Times New Roman" w:eastAsia="楷体" w:cs="Times New Roman"/>
          <w:b/>
          <w:bCs/>
          <w:color w:val="000000"/>
          <w:sz w:val="22"/>
          <w:szCs w:val="22"/>
          <w:highlight w:val="none"/>
          <w:lang w:val="en-US" w:eastAsia="zh-CN" w:bidi="ar-SA"/>
        </w:rPr>
        <w:t>版权</w:t>
      </w:r>
    </w:p>
    <w:p w14:paraId="53CF442A">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版权章节为服务提供商提供了切实可行的解决方案，以履行《人工智能法案》中关于制定符合欧盟版权法政策的义务</w:t>
      </w:r>
      <w:r>
        <w:rPr>
          <w:rFonts w:hint="eastAsia" w:ascii="Times New Roman" w:hAnsi="Times New Roman" w:eastAsia="楷体" w:cs="Times New Roman"/>
          <w:color w:val="000000"/>
          <w:highlight w:val="none"/>
          <w:lang w:val="en-US" w:eastAsia="zh-CN"/>
        </w:rPr>
        <w:t>。版权章节</w:t>
      </w:r>
      <w:r>
        <w:rPr>
          <w:rFonts w:hint="default" w:ascii="Times New Roman" w:hAnsi="Times New Roman" w:eastAsia="楷体" w:cs="Times New Roman"/>
          <w:color w:val="000000"/>
          <w:highlight w:val="none"/>
          <w:lang w:val="en-US" w:eastAsia="zh-CN"/>
        </w:rPr>
        <w:t>旨在促进《欧盟人工智能法》第53条第1款第(c)项规定的义务的正确实施，根据该条款，将通用目的人工智能模型投放欧盟市场的提供者必须制定一项政策，以遵守欧盟关于版权及相关权的法律，特别是通过最先进的技术识别并遵守权利持有人根据《欧盟2019/790号指令》第4条第3款表达的保留权利。</w:t>
      </w:r>
    </w:p>
    <w:p w14:paraId="208B0D9B">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b/>
          <w:bCs/>
          <w:color w:val="000000"/>
          <w:sz w:val="22"/>
          <w:szCs w:val="22"/>
          <w:highlight w:val="none"/>
          <w:lang w:val="en-US" w:eastAsia="zh-CN" w:bidi="ar-SA"/>
        </w:rPr>
        <w:t>3.安全和保障</w:t>
      </w:r>
    </w:p>
    <w:p w14:paraId="5A8C52B1">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安全与保障》章节详细阐述了管理系统性风险的具体前沿实践，即来自最先进模型的风险。服务提供商可依据本章节内容，履行《人工智能法案》对提供具有系统性风险的通用人工智能模型服务提供商所规定的义务。</w:t>
      </w:r>
      <w:r>
        <w:rPr>
          <w:rFonts w:hint="eastAsia" w:ascii="Times New Roman" w:hAnsi="Times New Roman" w:eastAsia="楷体" w:cs="Times New Roman"/>
          <w:color w:val="000000"/>
          <w:highlight w:val="none"/>
          <w:lang w:val="en-US" w:eastAsia="zh-CN"/>
        </w:rPr>
        <w:t>具体措施包括：</w:t>
      </w:r>
      <w:r>
        <w:rPr>
          <w:rFonts w:hint="default" w:ascii="Times New Roman" w:hAnsi="Times New Roman" w:eastAsia="楷体" w:cs="Times New Roman"/>
          <w:color w:val="000000"/>
          <w:highlight w:val="none"/>
          <w:lang w:val="en-US" w:eastAsia="zh-CN"/>
        </w:rPr>
        <w:t>风险识别与分类</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全生命周期管理机制</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安全防护措施</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第三方审查机制</w:t>
      </w:r>
      <w:r>
        <w:rPr>
          <w:rFonts w:hint="eastAsia" w:ascii="Times New Roman" w:hAnsi="Times New Roman" w:eastAsia="楷体" w:cs="Times New Roman"/>
          <w:color w:val="000000"/>
          <w:highlight w:val="none"/>
          <w:lang w:val="en-US" w:eastAsia="zh-CN"/>
        </w:rPr>
        <w:t>等。安全和保障义务的履行必须遵循以下原则：适当生命周期管理原则、情境化风险评估和缓解原则、与系统性风险相称原则、合作原则、人工智能安全与保障创新等原则。</w:t>
      </w:r>
    </w:p>
    <w:p w14:paraId="0BAF2BA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u w:val="none"/>
          <w:lang w:val="en-US" w:eastAsia="zh-CN"/>
        </w:rPr>
      </w:pPr>
      <w:r>
        <w:rPr>
          <w:rFonts w:hint="default" w:ascii="Times New Roman" w:hAnsi="Times New Roman" w:eastAsia="楷体" w:cs="Times New Roman"/>
          <w:color w:val="0070C0"/>
          <w:sz w:val="21"/>
          <w:szCs w:val="21"/>
          <w:highlight w:val="none"/>
          <w:lang w:eastAsia="zh-CN"/>
        </w:rPr>
        <w:t>（</w:t>
      </w:r>
      <w:r>
        <w:rPr>
          <w:rFonts w:hint="eastAsia" w:ascii="Times New Roman" w:hAnsi="Times New Roman" w:eastAsia="楷体" w:cs="Times New Roman"/>
          <w:color w:val="0070C0"/>
          <w:sz w:val="21"/>
          <w:szCs w:val="21"/>
          <w:highlight w:val="none"/>
          <w:u w:val="none"/>
          <w:lang w:val="en-US" w:eastAsia="zh-CN"/>
        </w:rPr>
        <w:t>来源：https://ec.europa.eu/commission/presscorner/detail/en/ip_25_1787</w:t>
      </w:r>
    </w:p>
    <w:p w14:paraId="7C975E2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lang w:eastAsia="zh-CN"/>
        </w:rPr>
      </w:pPr>
      <w:r>
        <w:rPr>
          <w:rFonts w:hint="eastAsia" w:ascii="Times New Roman" w:hAnsi="Times New Roman" w:eastAsia="楷体" w:cs="Times New Roman"/>
          <w:color w:val="0070C0"/>
          <w:sz w:val="21"/>
          <w:szCs w:val="21"/>
          <w:highlight w:val="none"/>
          <w:u w:val="none"/>
          <w:lang w:eastAsia="zh-CN"/>
        </w:rPr>
        <w:t>《通用人工智能实践准则》</w:t>
      </w:r>
      <w:r>
        <w:rPr>
          <w:rFonts w:hint="eastAsia" w:ascii="Times New Roman" w:hAnsi="Times New Roman" w:eastAsia="楷体" w:cs="Times New Roman"/>
          <w:color w:val="0070C0"/>
          <w:sz w:val="21"/>
          <w:szCs w:val="21"/>
          <w:highlight w:val="none"/>
          <w:u w:val="none"/>
          <w:lang w:val="en-US" w:eastAsia="zh-CN"/>
        </w:rPr>
        <w:t>全文：</w:t>
      </w:r>
      <w:r>
        <w:rPr>
          <w:rFonts w:hint="eastAsia" w:ascii="Times New Roman" w:hAnsi="Times New Roman" w:eastAsia="楷体" w:cs="Times New Roman"/>
          <w:color w:val="0070C0"/>
          <w:sz w:val="21"/>
          <w:szCs w:val="21"/>
          <w:highlight w:val="none"/>
          <w:u w:val="none"/>
          <w:lang w:eastAsia="zh-CN"/>
        </w:rPr>
        <w:t>https://digital-strategy.ec.europa.eu/en/policies/contents-code-gpai</w:t>
      </w:r>
      <w:r>
        <w:rPr>
          <w:rFonts w:hint="eastAsia" w:ascii="Times New Roman" w:hAnsi="Times New Roman" w:eastAsia="楷体" w:cs="Times New Roman"/>
          <w:color w:val="0070C0"/>
          <w:sz w:val="21"/>
          <w:szCs w:val="21"/>
          <w:highlight w:val="none"/>
          <w:lang w:eastAsia="zh-CN"/>
        </w:rPr>
        <w:t>）</w:t>
      </w:r>
    </w:p>
    <w:p w14:paraId="2E3F2784">
      <w:pPr>
        <w:snapToGrid w:val="0"/>
        <w:spacing w:before="120" w:after="120" w:line="240" w:lineRule="auto"/>
        <w:ind w:firstLine="0" w:firstLineChars="0"/>
        <w:jc w:val="both"/>
        <w:rPr>
          <w:rFonts w:hint="default" w:ascii="Times New Roman" w:hAnsi="Times New Roman" w:eastAsia="楷体" w:cs="楷体"/>
          <w:color w:val="0070C0"/>
          <w:sz w:val="21"/>
          <w:szCs w:val="21"/>
          <w:highlight w:val="none"/>
          <w:lang w:eastAsia="zh-CN"/>
        </w:rPr>
      </w:pPr>
      <w:r>
        <w:rPr>
          <w:rFonts w:hint="default" w:ascii="Times New Roman" w:hAnsi="Times New Roman" w:eastAsia="楷体" w:cs="Times New Roman"/>
          <w:highlight w:val="none"/>
          <w:lang w:eastAsia="zh-CN"/>
        </w:rPr>
        <w:br w:type="page"/>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19" w:name="_Toc2551"/>
      <w:bookmarkStart w:id="20" w:name="_Toc19686"/>
      <w:bookmarkStart w:id="21" w:name="_Toc4535"/>
      <w:bookmarkStart w:id="22" w:name="_Toc105607347"/>
      <w:bookmarkStart w:id="23" w:name="_Toc26939"/>
      <w:bookmarkStart w:id="24" w:name="_Toc29396"/>
      <w:bookmarkStart w:id="25" w:name="_Hlk97586846"/>
      <w:bookmarkStart w:id="26" w:name="_Toc54392292"/>
      <w:bookmarkStart w:id="27" w:name="_Toc69834922"/>
      <w:r>
        <w:rPr>
          <w:highlight w:val="none"/>
        </w:rP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highlight w:val="none"/>
          <w:lang w:eastAsia="zh-CN"/>
        </w:rPr>
      </w:pP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highlight w:val="none"/>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highlight w:val="none"/>
          <w:lang w:val="en-US" w:eastAsia="zh-CN"/>
          <w14:textFill>
            <w14:solidFill>
              <w14:schemeClr w14:val="accent1">
                <w14:lumMod w14:val="60000"/>
                <w14:lumOff w14:val="40000"/>
              </w14:schemeClr>
            </w14:solidFill>
          </w14:textFill>
        </w:rPr>
        <w:t>5</w:t>
      </w: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28" w:name="_Toc4119"/>
      <w:bookmarkStart w:id="29" w:name="_Toc19188"/>
      <w:bookmarkStart w:id="30" w:name="_Toc7695"/>
      <w:bookmarkStart w:id="31" w:name="_Toc21654"/>
      <w:bookmarkStart w:id="32" w:name="_Toc9345"/>
      <w:bookmarkStart w:id="33" w:name="_Toc21324"/>
      <w:bookmarkStart w:id="34" w:name="_Toc1447"/>
      <w:r>
        <w:rPr>
          <w:rFonts w:hint="eastAsia" w:ascii="Times New Roman" w:hAnsi="Times New Roman" w:eastAsia="方正小标宋简体" w:cs="方正小标宋简体"/>
          <w:bCs/>
          <w:color w:val="000000"/>
          <w:kern w:val="2"/>
          <w:sz w:val="28"/>
          <w:szCs w:val="28"/>
          <w:highlight w:val="none"/>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highlight w:val="none"/>
          <w:lang w:val="en-US" w:eastAsia="zh-CN"/>
        </w:rPr>
        <w:t>算法服务提供者版权过滤义务的理论证成与规范构造</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任安麒</w:t>
      </w:r>
    </w:p>
    <w:p w14:paraId="54D50278">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武汉工程大学法商学院（知识产权学院）</w:t>
      </w:r>
    </w:p>
    <w:p w14:paraId="4DB9E45B">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在算法技术冲击下，网络服务提供者著作权间接侵权认定规则在司法适用中的难题凸显，算法服务提供者版权过滤义务成为传统“避风港”规则的重要补充。基于算法服务侵权风险的类型化解析、算法过滤技术的实践考察、注意义务的边界厘定，赋予算法服务提供者版权过滤义务具有必要性、可行性与合理性。在规范构造上，欧盟《数字化单一市场版权指令》中“过滤器”条款的冲突调和范式，以及各成员国实施进程中的本土化改造与制度创新具有借鉴意义。应严格遵循比例原则，构建版权过滤义务主体、适用对象、过滤标准等基本制度；引入最低限度条款、双重事前标记机制与三重事后申诉救济机制，调和矛盾冲突；做好与著作权配套制度、算法备案、新兴技术的衔接工作，实现算法过滤机制的有序运行。</w:t>
      </w:r>
    </w:p>
    <w:p w14:paraId="1F51E8E2">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算法；网络服务提供者；过滤义务；著作权；间接侵权</w:t>
      </w:r>
    </w:p>
    <w:p w14:paraId="7CD3EB19">
      <w:pPr>
        <w:wordWrap w:val="0"/>
        <w:spacing w:before="120" w:beforeLines="50" w:after="120" w:afterLines="50" w:line="360" w:lineRule="auto"/>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（来源：《华东政法大学学报》2025年第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35" w:name="_Toc9621"/>
      <w:bookmarkStart w:id="36" w:name="_Toc105607350"/>
      <w:bookmarkStart w:id="37" w:name="_Toc21219"/>
      <w:bookmarkStart w:id="38" w:name="_Toc26588"/>
      <w:bookmarkStart w:id="39" w:name="_Toc11664"/>
      <w:bookmarkStart w:id="40" w:name="_Toc4206"/>
      <w:bookmarkStart w:id="41" w:name="_Toc30920"/>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bookmarkEnd w:id="35"/>
      <w:bookmarkEnd w:id="3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highlight w:val="none"/>
          <w:lang w:val="en-US" w:eastAsia="zh-CN"/>
        </w:rPr>
        <w:t>人工智能生成内容可版权性的认定方法研究</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张宪</w:t>
      </w:r>
    </w:p>
    <w:p w14:paraId="2E7EC51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中国政法大学法律学院</w:t>
      </w:r>
    </w:p>
    <w:p w14:paraId="7CF68745">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人工智能技术的快速发展对著作权制度提出了新的挑战。人工智能的自主决策性及生成过程的黑箱性使得著作权法“创作-作者-作品”之间的逻辑关系发生了断层，在人工智能生成内容可版权性认定中，确认作者身份成为了核心争议。拨开技术迷雾，解决人工智能生成内容的“作者身份”问题无需突破著作权法理论框架，应以“智力贡献论”为理论基础确立合理的认定方法。该认定方法的适用价值体现于，在关注内容生成过程中人类行为活动的创造性时，充分考虑人工智能的技术特殊性，厘清创作者行为与作品呈现内容之间的因果关系。基于人工智能生成内容与实用艺术品同处于著作权保护范围边缘的客体共性，实用艺术品可版权性认定中的“分离原则”及“概念性分离测试”能够为确立认定方法提供启示。将人工智能生成内容视为若干创作决策叠加作用产生的结果，确认“作者身份”的关键在于将其中的人类创作决策分离出来，重新整合为一个独立于人工智能决策的虚拟创作计划，判断人类创作决策所指向的具体的创造性表达是否为最终呈现内容中的实质性部分。</w:t>
      </w:r>
    </w:p>
    <w:p w14:paraId="3BB4ED9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人工智能生成内容；可版权性；作者身份；概念性分离测试</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（来源：《法学评论》2025年第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42" w:name="_Toc105607351"/>
      <w:bookmarkStart w:id="43" w:name="_Toc175"/>
      <w:bookmarkStart w:id="44" w:name="_Toc21932"/>
      <w:bookmarkStart w:id="45" w:name="_Toc2190"/>
      <w:bookmarkStart w:id="46" w:name="_Toc30581"/>
      <w:bookmarkStart w:id="47" w:name="_Toc29256"/>
      <w:r>
        <w:rPr>
          <w:rFonts w:hint="default" w:ascii="Times New Roman" w:hAnsi="Times New Roman" w:eastAsia="方正小标宋_GBK" w:cs="Times New Roman"/>
          <w:bCs/>
          <w:kern w:val="2"/>
          <w:sz w:val="28"/>
          <w:szCs w:val="28"/>
          <w:highlight w:val="none"/>
          <w:lang w:val="en-US" w:eastAsia="zh-CN"/>
        </w:rPr>
        <w:t>3.</w:t>
      </w:r>
      <w:bookmarkEnd w:id="42"/>
      <w:r>
        <w:rPr>
          <w:rFonts w:hint="eastAsia" w:ascii="方正小标宋_GBK" w:hAnsi="方正小标宋_GBK" w:eastAsia="方正小标宋_GBK" w:cs="方正小标宋_GBK"/>
          <w:bCs/>
          <w:kern w:val="2"/>
          <w:sz w:val="28"/>
          <w:szCs w:val="28"/>
          <w:highlight w:val="none"/>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highlight w:val="none"/>
          <w:lang w:val="en-US" w:eastAsia="zh-CN"/>
        </w:rPr>
        <w:t>专利侵权损害赔偿计算体系与方法的重塑</w:t>
      </w:r>
      <w:bookmarkEnd w:id="47"/>
    </w:p>
    <w:p w14:paraId="7962E988">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李兆轩</w:t>
      </w:r>
    </w:p>
    <w:p w14:paraId="7ABE3E77">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上海交通大学法学院</w:t>
      </w:r>
    </w:p>
    <w:p w14:paraId="7D9A8EAB">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现行专利制度在实现创新激励功能方面存在局限性，核心症结在于损害赔偿金额的司法认定难以有效契合专利权的市场价值。具体而言，当前制度困境主要源于双重维度缺陷：从制度架构维度分析，侵权获利计算法与法定赔偿法的逻辑出发点与损害赔偿制度不符，故无法满足损害赔偿需求。在技术操作维度，当前评估体系存在方法论缺陷，现有方法未能充分考量技术贡献度、市场替代率等核心价值要素，无法有效应对复杂的专利产品和市场结构。因此，应当从制度与方法两个维度入手，重构损害赔偿计算规则的适用位阶，建立以实际损失为基准、合理许可费为补充的阶梯式计算体系，并引入多变量模型，以实现司法定价与技术市场价值的动态平衡。</w:t>
      </w:r>
    </w:p>
    <w:p w14:paraId="3CE8622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损害赔偿；实际损失；侵权获利；合理许可费</w:t>
      </w:r>
    </w:p>
    <w:p w14:paraId="1E27D69D">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（来源：《国家检察官学院学报》2025年第</w:t>
      </w:r>
      <w:r>
        <w:rPr>
          <w:rFonts w:hint="eastAsia" w:ascii="Times New Roman" w:hAnsi="Times New Roman" w:eastAsia="楷体" w:cs="楷体"/>
          <w:color w:val="0070C0"/>
          <w:sz w:val="21"/>
          <w:szCs w:val="21"/>
          <w:highlight w:val="none"/>
          <w:lang w:val="en-US" w:eastAsia="zh-CN"/>
        </w:rPr>
        <w:t>3</w:t>
      </w:r>
      <w:r>
        <w:rPr>
          <w:rFonts w:hint="eastAsia" w:ascii="Times New Roman" w:hAnsi="Times New Roman" w:eastAsia="楷体" w:cs="楷体"/>
          <w:color w:val="0070C0"/>
          <w:sz w:val="21"/>
          <w:szCs w:val="21"/>
          <w:highlight w:val="none"/>
          <w:lang w:eastAsia="zh-CN"/>
        </w:rPr>
        <w:t>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highlight w:val="none"/>
          <w:lang w:val="en-US" w:eastAsia="zh-CN"/>
        </w:rPr>
      </w:pPr>
      <w:bookmarkStart w:id="48" w:name="_Toc105607352"/>
      <w:bookmarkStart w:id="49" w:name="_Toc21276"/>
      <w:bookmarkStart w:id="50" w:name="_Toc8100"/>
      <w:bookmarkStart w:id="51" w:name="_Toc19388"/>
      <w:bookmarkStart w:id="52" w:name="_Toc12839"/>
      <w:bookmarkStart w:id="53" w:name="_Toc19471"/>
      <w:r>
        <w:rPr>
          <w:rFonts w:hint="default" w:ascii="Times New Roman" w:hAnsi="Times New Roman" w:eastAsia="方正小标宋_GBK" w:cs="Times New Roman"/>
          <w:bCs/>
          <w:kern w:val="2"/>
          <w:sz w:val="28"/>
          <w:szCs w:val="28"/>
          <w:highlight w:val="none"/>
          <w:lang w:val="en-US" w:eastAsia="zh-CN"/>
        </w:rPr>
        <w:t>4</w:t>
      </w:r>
      <w:bookmarkEnd w:id="48"/>
      <w:r>
        <w:rPr>
          <w:rFonts w:hint="default" w:ascii="Times New Roman" w:hAnsi="Times New Roman" w:eastAsia="方正小标宋_GBK" w:cs="Times New Roman"/>
          <w:bCs/>
          <w:kern w:val="2"/>
          <w:sz w:val="28"/>
          <w:szCs w:val="28"/>
          <w:highlight w:val="none"/>
          <w:lang w:val="en-US" w:eastAsia="zh-CN"/>
        </w:rPr>
        <w:t>.</w:t>
      </w:r>
      <w:r>
        <w:rPr>
          <w:rFonts w:hint="eastAsia" w:ascii="方正小标宋_GBK" w:hAnsi="方正小标宋_GBK" w:eastAsia="方正小标宋_GBK" w:cs="方正小标宋_GBK"/>
          <w:bCs/>
          <w:kern w:val="2"/>
          <w:sz w:val="28"/>
          <w:szCs w:val="28"/>
          <w:highlight w:val="none"/>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highlight w:val="none"/>
          <w:lang w:val="en-US" w:eastAsia="zh-CN"/>
        </w:rPr>
        <w:t>人工智能训练侵犯作品复制权吗?</w:t>
      </w:r>
      <w:bookmarkEnd w:id="53"/>
    </w:p>
    <w:p w14:paraId="69041D7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李春晖</w:t>
      </w:r>
    </w:p>
    <w:p w14:paraId="0A61283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天津大学法学院</w:t>
      </w:r>
    </w:p>
    <w:p w14:paraId="01878549">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关于使用数据训练人工智能(AI)是否侵犯著作权问题，存在否定著作权法可适用性的“釜底抽薪”进路和承认可能侵犯著作权但主张以合理使用为代表的权利限制的“先进后出”进路。前者有利于新技术、新业态发展。复制权系训练用数据著作权保护问题的核心。就AI训练本身而言：(1)其技术本质决定了训练过程不是对作品的复制；(2)AI的伦理地位决定了其学习过程类似自然人，因而不可能是复制；(3)学习过程中的临时复制不在复制权范围内则基本无疑义。就作为AI训练前导的训练数据准备中的复制而言，一方面，其不具有传播目的和效果，不应被解释为著作权法上的复制；另一方面，其实质仍为临时复制。训练数据复制权问题也是整个知识产权法中实施、使用链条各环节独立权能化的表现之一。后者在历史上具有合理性，但随着科技与市场环境的变化，弊端愈来愈明显，知识产权法逻辑应考虑回归民法规则和民事侵权理论。基于以上理由，著作权法不应适用于AI训练对数据的使用，后者应否规制、如何规制，应重新进行利益衡量和价值取舍。这可在著作权法框架下进行，亦可在数据立法框架下解决。</w:t>
      </w:r>
    </w:p>
    <w:p w14:paraId="3E1108B6">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人工智能训练；数据；著作权；复制权；数据权益</w:t>
      </w:r>
    </w:p>
    <w:p w14:paraId="7C96D6C7">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（来源：《华东政法大学学报》2025年第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54" w:name="_Toc105607353"/>
      <w:bookmarkStart w:id="55" w:name="_Toc26878"/>
      <w:bookmarkStart w:id="56" w:name="_Toc11457"/>
      <w:bookmarkStart w:id="57" w:name="_Toc16475"/>
      <w:bookmarkStart w:id="58" w:name="_Toc13754"/>
      <w:bookmarkStart w:id="59" w:name="_Toc28436"/>
      <w:r>
        <w:rPr>
          <w:rFonts w:hint="default" w:ascii="Times New Roman" w:hAnsi="Times New Roman" w:eastAsia="方正小标宋_GBK" w:cs="Times New Roman"/>
          <w:bCs/>
          <w:kern w:val="2"/>
          <w:sz w:val="28"/>
          <w:szCs w:val="28"/>
          <w:highlight w:val="none"/>
          <w:lang w:val="en-US" w:eastAsia="zh-CN"/>
        </w:rPr>
        <w:t>5.</w:t>
      </w:r>
      <w:bookmarkEnd w:id="54"/>
      <w:r>
        <w:rPr>
          <w:rFonts w:hint="eastAsia" w:ascii="方正小标宋_GBK" w:hAnsi="方正小标宋_GBK" w:eastAsia="方正小标宋_GBK" w:cs="方正小标宋_GBK"/>
          <w:bCs/>
          <w:kern w:val="2"/>
          <w:sz w:val="28"/>
          <w:szCs w:val="28"/>
          <w:highlight w:val="none"/>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highlight w:val="none"/>
          <w:lang w:val="en-US" w:eastAsia="zh-CN"/>
        </w:rPr>
        <w:t>论驰名商标淡化侵权的抗辩事由</w:t>
      </w:r>
      <w:bookmarkEnd w:id="59"/>
    </w:p>
    <w:p w14:paraId="23726139">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楷体" w:hAnsi="楷体" w:eastAsia="楷体" w:cs="楷体"/>
          <w:b w:val="0"/>
          <w:bCs/>
          <w:color w:val="000000"/>
          <w:szCs w:val="21"/>
          <w:highlight w:val="none"/>
          <w:shd w:val="clear" w:color="auto" w:fill="FFFFFF"/>
          <w:lang w:eastAsia="zh-CN"/>
        </w:rPr>
        <w:t>王太平</w:t>
      </w:r>
    </w:p>
    <w:p w14:paraId="76370217">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楷体" w:hAnsi="楷体" w:eastAsia="楷体" w:cs="楷体"/>
          <w:b w:val="0"/>
          <w:bCs/>
          <w:color w:val="000000"/>
          <w:szCs w:val="21"/>
          <w:highlight w:val="none"/>
          <w:shd w:val="clear" w:color="auto" w:fill="FFFFFF"/>
          <w:lang w:eastAsia="zh-CN"/>
        </w:rPr>
        <w:t>华东政法大学知识产权学院</w:t>
      </w:r>
    </w:p>
    <w:p w14:paraId="51BBFA5C">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楷体" w:hAnsi="楷体" w:eastAsia="楷体" w:cs="楷体"/>
          <w:b w:val="0"/>
          <w:bCs/>
          <w:color w:val="000000"/>
          <w:szCs w:val="21"/>
          <w:highlight w:val="none"/>
          <w:shd w:val="clear" w:color="auto" w:fill="FFFFFF"/>
          <w:lang w:eastAsia="zh-CN"/>
        </w:rPr>
        <w:t>驰名商标反淡化保护可能对言论自由和竞争自由产生负面影响，需要对其进行限制以平衡商标权人利益与公共利益。尽管狭义的商标侵权构成、专门的权利限制制度和商标侵权的抗辩事由均可以限制商标权，但商标侵权抗辩事由相对而言更易确定。大多数混淆侵权的抗辩事由可以适用于驰名商标淡化侵权，但具体适用时会有不同表现。鉴于驰名商标反淡化保护更高的强度和不确定性，有必要结合列举具体情形的列举式立法和正当理由的概括式立法规定驰名商标淡化侵权的特有抗辩事由。《中华人民共和国商标法》驰名商标制度存在性质和定位不明确的结构性制度缺陷，应先从整体框架上理顺我国驰名商标制度，明确独立的驰名商标淡化侵权构成制度，在此基础上进一步完善我国驰名商标淡化侵权的抗辩事由，尤其要规定驰名商标淡化侵权特有的抗辩事由。</w:t>
      </w:r>
    </w:p>
    <w:p w14:paraId="45F64FFC">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驰名商标；淡化侵权；抗辩事由；正当理由</w:t>
      </w:r>
    </w:p>
    <w:p w14:paraId="6F0F553E">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（来源：《政治与法律》2025年第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46C6601E">
      <w:pPr>
        <w:jc w:val="both"/>
        <w:rPr>
          <w:rFonts w:hint="eastAsia" w:ascii="Times New Roman" w:hAnsi="Times New Roman" w:eastAsia="楷体" w:cs="楷体"/>
          <w:color w:val="0070C0"/>
          <w:sz w:val="21"/>
          <w:szCs w:val="21"/>
          <w:highlight w:val="none"/>
          <w:lang w:eastAsia="zh-CN"/>
        </w:rPr>
      </w:pPr>
    </w:p>
    <w:p w14:paraId="09F7F43F">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60" w:name="_Toc105607355"/>
      <w:bookmarkStart w:id="61" w:name="_Toc30263"/>
      <w:bookmarkStart w:id="62" w:name="_Toc24700"/>
      <w:bookmarkStart w:id="63" w:name="_Toc3249"/>
      <w:bookmarkStart w:id="64" w:name="_Toc31970"/>
      <w:bookmarkStart w:id="65" w:name="_Toc11108"/>
      <w:r>
        <w:rPr>
          <w:highlight w:val="none"/>
        </w:rP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66" w:name="_Toc14518"/>
      <w:bookmarkStart w:id="67" w:name="_Toc105607356"/>
      <w:bookmarkStart w:id="68" w:name="_Toc27026"/>
      <w:bookmarkStart w:id="69" w:name="_Toc6894"/>
      <w:bookmarkStart w:id="70" w:name="_Toc536"/>
      <w:bookmarkStart w:id="71" w:name="_Toc2816"/>
      <w:bookmarkStart w:id="72" w:name="_Toc8966"/>
      <w:bookmarkStart w:id="73" w:name="_Toc54554587"/>
      <w:bookmarkStart w:id="74" w:name="_Toc57418534"/>
      <w:bookmarkStart w:id="75" w:name="_Toc69834946"/>
      <w:r>
        <w:rPr>
          <w:rFonts w:hint="eastAsia" w:ascii="Times New Roman" w:hAnsi="Times New Roman" w:eastAsia="方正小标宋简体" w:cs="方正小标宋简体"/>
          <w:bCs/>
          <w:color w:val="000000"/>
          <w:kern w:val="2"/>
          <w:sz w:val="28"/>
          <w:szCs w:val="28"/>
          <w:highlight w:val="none"/>
          <w:lang w:eastAsia="zh-CN"/>
        </w:rPr>
        <w:t>1.</w:t>
      </w:r>
      <w:bookmarkEnd w:id="6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highlight w:val="none"/>
          <w:lang w:val="en-US" w:eastAsia="zh-CN"/>
        </w:rPr>
        <w:t>专利审批体制改革与企业关键核心技术突破：来自专利快速预审制度的经验证据</w:t>
      </w:r>
      <w:bookmarkEnd w:id="72"/>
    </w:p>
    <w:p w14:paraId="24A4AA08">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default" w:ascii="Times New Roman" w:hAnsi="Times New Roman" w:eastAsia="楷体" w:cs="楷体"/>
          <w:b w:val="0"/>
          <w:bCs/>
          <w:color w:val="000000"/>
          <w:szCs w:val="21"/>
          <w:highlight w:val="none"/>
          <w:shd w:val="clear" w:color="auto" w:fill="FFFFFF"/>
          <w:lang w:val="en-US" w:eastAsia="zh-CN"/>
        </w:rPr>
        <w:t>韩先锋1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default" w:ascii="Times New Roman" w:hAnsi="Times New Roman" w:eastAsia="楷体" w:cs="楷体"/>
          <w:b w:val="0"/>
          <w:bCs/>
          <w:color w:val="000000"/>
          <w:szCs w:val="21"/>
          <w:highlight w:val="none"/>
          <w:shd w:val="clear" w:color="auto" w:fill="FFFFFF"/>
          <w:lang w:val="en-US" w:eastAsia="zh-CN"/>
        </w:rPr>
        <w:t>郑酌基2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default" w:ascii="Times New Roman" w:hAnsi="Times New Roman" w:eastAsia="楷体" w:cs="楷体"/>
          <w:b w:val="0"/>
          <w:bCs/>
          <w:color w:val="000000"/>
          <w:szCs w:val="21"/>
          <w:highlight w:val="none"/>
          <w:shd w:val="clear" w:color="auto" w:fill="FFFFFF"/>
          <w:lang w:val="en-US" w:eastAsia="zh-CN"/>
        </w:rPr>
        <w:t>朱承亮3</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default" w:ascii="Times New Roman" w:hAnsi="Times New Roman" w:eastAsia="楷体" w:cs="楷体"/>
          <w:b w:val="0"/>
          <w:bCs/>
          <w:color w:val="000000"/>
          <w:szCs w:val="21"/>
          <w:highlight w:val="none"/>
          <w:shd w:val="clear" w:color="auto" w:fill="FFFFFF"/>
          <w:lang w:val="en-US" w:eastAsia="zh-CN"/>
        </w:rPr>
        <w:t>肖远飞1</w:t>
      </w:r>
    </w:p>
    <w:p w14:paraId="28B45D8B">
      <w:pPr>
        <w:numPr>
          <w:ilvl w:val="0"/>
          <w:numId w:val="0"/>
        </w:num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1.</w:t>
      </w:r>
      <w:r>
        <w:rPr>
          <w:rFonts w:hint="default" w:ascii="Times New Roman" w:hAnsi="Times New Roman" w:eastAsia="楷体" w:cs="楷体"/>
          <w:b w:val="0"/>
          <w:bCs/>
          <w:color w:val="000000"/>
          <w:szCs w:val="21"/>
          <w:highlight w:val="none"/>
          <w:shd w:val="clear" w:color="auto" w:fill="FFFFFF"/>
          <w:lang w:val="en-US" w:eastAsia="zh-CN"/>
        </w:rPr>
        <w:t>昆明理工大学管理与经济学院</w:t>
      </w:r>
    </w:p>
    <w:p w14:paraId="4C743803">
      <w:pPr>
        <w:numPr>
          <w:ilvl w:val="0"/>
          <w:numId w:val="0"/>
        </w:numPr>
        <w:spacing w:before="120" w:beforeLines="50" w:after="120" w:afterLines="50" w:line="360" w:lineRule="auto"/>
        <w:ind w:leftChars="0"/>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2.</w:t>
      </w:r>
      <w:r>
        <w:rPr>
          <w:rFonts w:hint="default" w:ascii="Times New Roman" w:hAnsi="Times New Roman" w:eastAsia="楷体" w:cs="楷体"/>
          <w:b w:val="0"/>
          <w:bCs/>
          <w:color w:val="000000"/>
          <w:szCs w:val="21"/>
          <w:highlight w:val="none"/>
          <w:shd w:val="clear" w:color="auto" w:fill="FFFFFF"/>
          <w:lang w:val="en-US" w:eastAsia="zh-CN"/>
        </w:rPr>
        <w:t>厦门大学管理学院</w:t>
      </w:r>
    </w:p>
    <w:p w14:paraId="2D55923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default" w:ascii="Times New Roman" w:hAnsi="Times New Roman" w:eastAsia="楷体" w:cs="楷体"/>
          <w:b w:val="0"/>
          <w:bCs/>
          <w:color w:val="000000"/>
          <w:szCs w:val="21"/>
          <w:highlight w:val="none"/>
          <w:shd w:val="clear" w:color="auto" w:fill="FFFFFF"/>
          <w:lang w:val="en-US" w:eastAsia="zh-CN"/>
        </w:rPr>
        <w:t>3.中国社会科学院数量经济与技术经济研究所</w:t>
      </w:r>
    </w:p>
    <w:p w14:paraId="059FB0B7">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加快培育新质生产力背景下，如何发挥专利制度“压舱石”作用切实赋能企业关键核心技术突破亟需重点关注。借助专利快速预审制度的准自然试验，首次检验了专利审批体制改革对企业关键核心技术突破的影响效应及机制。研究表明：专利审批体制改革有效驱动了企业关键核心技术突破，但对非关键核心技术和策略性创新并无显著影响，降低制度性交易成本是改革发挥效能的重要路径；在内部研发基础较强企业、外部制度环境较好地区，改革效应更为明显；改革实施后企业关键核心技术突破模式呈现独立研发与合作研发并存局面，但后者以企业间合作模式为主，产学研和政企等跨界合作模式尚不成熟。研究结果不仅证实了专利快速预审制度在关键核心技术突破中的积极作用，也为持续深化我国专利制度改革创新提供了潜在启示。</w:t>
      </w:r>
    </w:p>
    <w:p w14:paraId="44AB32B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专利审批体制改革；专利快速预审；企业关键核心技术突破；新质生产力</w:t>
      </w:r>
    </w:p>
    <w:p w14:paraId="054FDE45">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（来源：《中国软科学》2025年第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76" w:name="_Toc6677"/>
      <w:bookmarkStart w:id="77" w:name="_Toc7535"/>
      <w:bookmarkStart w:id="78" w:name="_Toc105607361"/>
      <w:bookmarkStart w:id="79" w:name="_Toc22986"/>
      <w:bookmarkStart w:id="80" w:name="_Toc9048"/>
      <w:bookmarkStart w:id="81" w:name="_Toc8285"/>
      <w:bookmarkStart w:id="82" w:name="_Hlk102295492"/>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highlight w:val="none"/>
          <w:lang w:val="en-US" w:eastAsia="zh-CN"/>
        </w:rPr>
        <w:t>知识产权保护对企业数字技术创新的影响效应研究——来自中国上市公司的证据</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w:t>
      </w:r>
      <w:r>
        <w:rPr>
          <w:rFonts w:hint="default" w:ascii="Times New Roman" w:hAnsi="Times New Roman" w:eastAsia="楷体" w:cs="Times New Roman"/>
          <w:b/>
          <w:color w:val="000000"/>
          <w:szCs w:val="21"/>
          <w:highlight w:val="none"/>
          <w:shd w:val="clear" w:color="auto" w:fill="FFFFFF"/>
          <w:lang w:eastAsia="zh-CN"/>
        </w:rPr>
        <w:t>者：</w:t>
      </w:r>
      <w:r>
        <w:rPr>
          <w:rFonts w:hint="default" w:ascii="Times New Roman" w:hAnsi="Times New Roman" w:eastAsia="楷体" w:cs="Times New Roman"/>
          <w:b w:val="0"/>
          <w:bCs/>
          <w:color w:val="000000"/>
          <w:szCs w:val="21"/>
          <w:highlight w:val="none"/>
          <w:shd w:val="clear" w:color="auto" w:fill="FFFFFF"/>
          <w:lang w:eastAsia="zh-CN"/>
        </w:rPr>
        <w:t>郭丰1</w:t>
      </w:r>
      <w:r>
        <w:rPr>
          <w:rFonts w:hint="eastAsia" w:ascii="Times New Roman" w:hAnsi="Times New Roman" w:eastAsia="楷体" w:cs="Times New Roman"/>
          <w:b w:val="0"/>
          <w:bCs/>
          <w:color w:val="000000"/>
          <w:szCs w:val="21"/>
          <w:highlight w:val="none"/>
          <w:shd w:val="clear" w:color="auto" w:fill="FFFFFF"/>
          <w:lang w:val="en-US" w:eastAsia="zh-CN"/>
        </w:rPr>
        <w:t xml:space="preserve"> </w:t>
      </w:r>
      <w:r>
        <w:rPr>
          <w:rFonts w:hint="default" w:ascii="Times New Roman" w:hAnsi="Times New Roman" w:eastAsia="楷体" w:cs="Times New Roman"/>
          <w:b w:val="0"/>
          <w:bCs/>
          <w:color w:val="000000"/>
          <w:szCs w:val="21"/>
          <w:highlight w:val="none"/>
          <w:shd w:val="clear" w:color="auto" w:fill="FFFFFF"/>
          <w:lang w:eastAsia="zh-CN"/>
        </w:rPr>
        <w:t>任毅1</w:t>
      </w:r>
      <w:r>
        <w:rPr>
          <w:rFonts w:hint="eastAsia" w:ascii="Times New Roman" w:hAnsi="Times New Roman" w:eastAsia="楷体" w:cs="Times New Roman"/>
          <w:b w:val="0"/>
          <w:bCs/>
          <w:color w:val="000000"/>
          <w:szCs w:val="21"/>
          <w:highlight w:val="none"/>
          <w:shd w:val="clear" w:color="auto" w:fill="FFFFFF"/>
          <w:lang w:val="en-US" w:eastAsia="zh-CN"/>
        </w:rPr>
        <w:t xml:space="preserve"> </w:t>
      </w:r>
      <w:r>
        <w:rPr>
          <w:rFonts w:hint="default" w:ascii="Times New Roman" w:hAnsi="Times New Roman" w:eastAsia="楷体" w:cs="Times New Roman"/>
          <w:b w:val="0"/>
          <w:bCs/>
          <w:color w:val="000000"/>
          <w:szCs w:val="21"/>
          <w:highlight w:val="none"/>
          <w:shd w:val="clear" w:color="auto" w:fill="FFFFFF"/>
          <w:lang w:eastAsia="zh-CN"/>
        </w:rPr>
        <w:t>段云桂2</w:t>
      </w:r>
      <w:r>
        <w:rPr>
          <w:rFonts w:hint="eastAsia" w:ascii="Times New Roman" w:hAnsi="Times New Roman" w:eastAsia="楷体" w:cs="Times New Roman"/>
          <w:b w:val="0"/>
          <w:bCs/>
          <w:color w:val="000000"/>
          <w:szCs w:val="21"/>
          <w:highlight w:val="none"/>
          <w:shd w:val="clear" w:color="auto" w:fill="FFFFFF"/>
          <w:lang w:val="en-US" w:eastAsia="zh-CN"/>
        </w:rPr>
        <w:t xml:space="preserve"> </w:t>
      </w:r>
      <w:r>
        <w:rPr>
          <w:rFonts w:hint="default" w:ascii="Times New Roman" w:hAnsi="Times New Roman" w:eastAsia="楷体" w:cs="Times New Roman"/>
          <w:b w:val="0"/>
          <w:bCs/>
          <w:color w:val="000000"/>
          <w:szCs w:val="21"/>
          <w:highlight w:val="none"/>
          <w:shd w:val="clear" w:color="auto" w:fill="FFFFFF"/>
          <w:lang w:eastAsia="zh-CN"/>
        </w:rPr>
        <w:t>尹俊杨2</w:t>
      </w:r>
    </w:p>
    <w:p w14:paraId="5BB507AB">
      <w:p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default" w:ascii="Times New Roman" w:hAnsi="Times New Roman" w:eastAsia="楷体" w:cs="Times New Roman"/>
          <w:b/>
          <w:color w:val="000000"/>
          <w:szCs w:val="21"/>
          <w:highlight w:val="none"/>
          <w:shd w:val="clear" w:color="auto" w:fill="FFFFFF"/>
          <w:lang w:eastAsia="zh-CN"/>
        </w:rPr>
        <w:t>机构：</w:t>
      </w:r>
      <w:r>
        <w:rPr>
          <w:rFonts w:hint="default" w:ascii="Times New Roman" w:hAnsi="Times New Roman" w:eastAsia="楷体" w:cs="Times New Roman"/>
          <w:b w:val="0"/>
          <w:bCs/>
          <w:color w:val="000000"/>
          <w:szCs w:val="21"/>
          <w:highlight w:val="none"/>
          <w:shd w:val="clear" w:color="auto" w:fill="FFFFFF"/>
          <w:lang w:eastAsia="zh-CN"/>
        </w:rPr>
        <w:t>1.重庆工商大学成渝地区双城经济圈建设研究院</w:t>
      </w:r>
    </w:p>
    <w:p w14:paraId="0348F95D">
      <w:p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default" w:ascii="Times New Roman" w:hAnsi="Times New Roman" w:eastAsia="楷体" w:cs="Times New Roman"/>
          <w:b w:val="0"/>
          <w:bCs/>
          <w:color w:val="000000"/>
          <w:szCs w:val="21"/>
          <w:highlight w:val="none"/>
          <w:shd w:val="clear" w:color="auto" w:fill="FFFFFF"/>
          <w:lang w:eastAsia="zh-CN"/>
        </w:rPr>
        <w:t>2.重庆工商大学金融学院</w:t>
      </w:r>
    </w:p>
    <w:p w14:paraId="5CF78D3E">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default" w:ascii="Times New Roman" w:hAnsi="Times New Roman" w:eastAsia="楷体" w:cs="Times New Roman"/>
          <w:b w:val="0"/>
          <w:bCs/>
          <w:color w:val="000000"/>
          <w:szCs w:val="21"/>
          <w:highlight w:val="none"/>
          <w:shd w:val="clear" w:color="auto" w:fill="FFFFFF"/>
          <w:lang w:eastAsia="zh-CN"/>
        </w:rPr>
        <w:t>知识产权保护是激励创新和完善创新资源的重要制度因素。本文从知识产权制度供给和知识产权司法保护两个维度构造了城市层面的知识产权保护指标，以2011—2021年中国沪深A股上市公司为研究样本，系统考察了知识产权保护对企业数字技术创新的影响及其作用机制。研究发现：知识产权保护能够显著促进企业数字技术创新，经过一系列稳健性检验后，上述结论依然成立。影响渠道检验表明，企业研发投入强度增加和数字化转型水平提升是知识产权保护赋能企业数字技术创新的重要途径。异质性分析结果表明，在国有企业、大规模企业和知识产权产业企业组别中，知识产权保护对企业数字技术创新的赋能作用更加显著。上述研究发现有助于深入发掘知识产权保护对企业数字技术创新的作用效果，这为政府有关部门利用知识产权保护激励企业数字技术创新提供了政策参考。</w:t>
      </w:r>
    </w:p>
    <w:p w14:paraId="04625E5D">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知识产权保护；数字技术创新；研发投入；数字化转型</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（来源：《管理评论》2025年第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highlight w:val="none"/>
          <w:lang w:eastAsia="zh-CN"/>
        </w:rPr>
      </w:pPr>
      <w:bookmarkStart w:id="83" w:name="_Toc14297"/>
      <w:bookmarkStart w:id="84" w:name="_Toc6769"/>
      <w:bookmarkStart w:id="85" w:name="_Toc27692"/>
      <w:bookmarkStart w:id="86" w:name="_Toc15994"/>
      <w:bookmarkStart w:id="87" w:name="_Toc32216"/>
      <w:r>
        <w:rPr>
          <w:rFonts w:hint="eastAsia" w:ascii="Times New Roman" w:hAnsi="Times New Roman" w:eastAsia="方正小标宋简体" w:cs="方正小标宋简体"/>
          <w:bCs/>
          <w:color w:val="000000"/>
          <w:kern w:val="2"/>
          <w:sz w:val="28"/>
          <w:szCs w:val="28"/>
          <w:highlight w:val="none"/>
          <w:lang w:val="en-US" w:eastAsia="zh-CN"/>
        </w:rPr>
        <w:t>3</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highlight w:val="none"/>
          <w:lang w:val="en-US" w:eastAsia="zh-CN"/>
        </w:rPr>
        <w:t>知识产权司法保护对区域技术创新质量的影响</w:t>
      </w:r>
      <w:bookmarkEnd w:id="87"/>
    </w:p>
    <w:p w14:paraId="2DD31DB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张林刚</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王震</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杨嘉惠</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熊焰</w:t>
      </w:r>
    </w:p>
    <w:p w14:paraId="22AC94B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上海应用技术大学经济与管理学院</w:t>
      </w:r>
    </w:p>
    <w:p w14:paraId="5E3ABF96">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知识产权保护是驱动创新发展的重要制度安排，加强知识产权司法保护如何推动区域技术创新实现从增量到提质是中国高质量发展背景下的重要问题。基于2011—2021年中国260个地级市面板数据，以地方知识产权法庭的设立为准自然实验，运用双重差分模型评估了知识产权司法保护对区域技术创新质量的影响。研究发现，地方知识产权法庭的设立能够显著促进区域高质量技术创新并有效抑制区域低质量技术创新，因而表现出对区域技术创新质量的提升效应。作用机制检验表明，知识产权司法保护通过增强技术市场“示范效应”和创新环境“规制效应”来提升区域技术创新质量。进一步分析发现，地方知识产权法庭对区域技术创新质量的提升作用在城市行政等级、地理区位和初始知识产权保护水平上存在异质性，并且法庭设立城市的技术创新质量提升作用强于管辖城市。研究结论为深化知识产权司法审判体制改革、优化市场创新环境和畅通知识溢出途径提供政策建议，并为实施创新驱动发展战略和实现高质量发展目标提供参考。</w:t>
      </w:r>
    </w:p>
    <w:p w14:paraId="1D14CFFE">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知识产权司法保护；地方知识产权法庭；区域技术创新质量；双重差分模型</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（来源：《科研管理》2025年第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highlight w:val="none"/>
          <w:lang w:eastAsia="zh-CN"/>
        </w:rPr>
      </w:pPr>
      <w:bookmarkStart w:id="88" w:name="_Toc21167"/>
      <w:bookmarkStart w:id="89" w:name="_Toc13877"/>
      <w:bookmarkStart w:id="90" w:name="_Toc31940"/>
      <w:bookmarkStart w:id="91" w:name="_Toc1676"/>
      <w:bookmarkStart w:id="92" w:name="_Toc7767"/>
      <w:r>
        <w:rPr>
          <w:rFonts w:hint="eastAsia" w:ascii="Times New Roman" w:hAnsi="Times New Roman" w:eastAsia="方正小标宋简体" w:cs="方正小标宋简体"/>
          <w:bCs/>
          <w:color w:val="000000"/>
          <w:kern w:val="2"/>
          <w:sz w:val="28"/>
          <w:szCs w:val="28"/>
          <w:highlight w:val="none"/>
          <w:lang w:val="en-US" w:eastAsia="zh-CN"/>
        </w:rPr>
        <w:t>4</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highlight w:val="none"/>
          <w:lang w:val="en-US" w:eastAsia="zh-CN"/>
        </w:rPr>
        <w:t>面向解决“卡脖子”技术困境的关键专利识别研究</w:t>
      </w:r>
      <w:bookmarkEnd w:id="92"/>
    </w:p>
    <w:p w14:paraId="3BEF870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朱珈慧1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周潇1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王博2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任乔杨1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王丹3</w:t>
      </w:r>
    </w:p>
    <w:p w14:paraId="18BCA42B">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1.西安电子科技大学经济与管理学院</w:t>
      </w:r>
    </w:p>
    <w:p w14:paraId="135BB3A0">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val="0"/>
          <w:bCs/>
          <w:color w:val="000000"/>
          <w:szCs w:val="21"/>
          <w:highlight w:val="none"/>
          <w:shd w:val="clear" w:color="auto" w:fill="FFFFFF"/>
          <w:lang w:val="en-US" w:eastAsia="zh-CN"/>
        </w:rPr>
        <w:t>2.</w:t>
      </w:r>
      <w:r>
        <w:rPr>
          <w:rFonts w:hint="eastAsia" w:ascii="Times New Roman" w:hAnsi="Times New Roman" w:eastAsia="楷体" w:cs="楷体"/>
          <w:b w:val="0"/>
          <w:bCs/>
          <w:color w:val="000000"/>
          <w:szCs w:val="21"/>
          <w:highlight w:val="none"/>
          <w:shd w:val="clear" w:color="auto" w:fill="FFFFFF"/>
          <w:lang w:eastAsia="zh-CN"/>
        </w:rPr>
        <w:t>西安机电信息技术研究所</w:t>
      </w:r>
    </w:p>
    <w:p w14:paraId="5ABDFE8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val="0"/>
          <w:bCs/>
          <w:color w:val="000000"/>
          <w:szCs w:val="21"/>
          <w:highlight w:val="none"/>
          <w:shd w:val="clear" w:color="auto" w:fill="FFFFFF"/>
          <w:lang w:eastAsia="zh-CN"/>
        </w:rPr>
        <w:t>3.广西师范大学经济管理学院</w:t>
      </w:r>
    </w:p>
    <w:p w14:paraId="46440D2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随着国外对我国芯片领域技术和产品的封锁限制，我国科技领军企业和机构正在共同助力“卡脖子”技术突破，以实现国产化替代。识别我国在“卡脖子”技术问题上具有突破潜质的关键专利、提供具有针对性的细粒度解决方案，是帮助我国实现技术突围和布局技术创新战略的重要措施。本研究在大模型生成中外专利技术功效文本的基础上，通过对标国外“卡脖子”核心专利与国内专利的技术功效文本，识别出具有解决“卡脖子”技术问题的国内关键专利。本研究的创新点主要体现在两个方面：(1)在技术功效文本的生成上，利用大模型作为文本生成工具，弥补了抽取方式的机械性，同时有效降低了专家的参与程度；(2)在识别关键专利时，考虑了“技术—解决方案”的深层对应关系，从技术底层逻辑而非技术文本表层对中外专利进行对标，使得识别出的国内关键专利更具问题导向性。最后，以AI (artificial intelligence)芯片领域为例进行实证研究，验证了本研究方法的可行性，为我国突破“卡脖子”技术困境提供了有效思路。</w:t>
      </w:r>
    </w:p>
    <w:p w14:paraId="7EBC2E34">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“卡脖子”技术突破；关键专利识别；大语言模型；技术功效文本生成</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（来源：《情报学报》2025年第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highlight w:val="none"/>
          <w:lang w:val="en-US" w:eastAsia="zh-CN"/>
        </w:rPr>
      </w:pPr>
      <w:bookmarkStart w:id="93" w:name="_Toc9517"/>
      <w:bookmarkStart w:id="94" w:name="_Toc5539"/>
      <w:bookmarkStart w:id="95" w:name="_Toc1731"/>
      <w:bookmarkStart w:id="96" w:name="_Toc28402"/>
      <w:bookmarkStart w:id="97" w:name="_Toc9654"/>
      <w:r>
        <w:rPr>
          <w:rFonts w:hint="eastAsia" w:ascii="Times New Roman" w:hAnsi="Times New Roman" w:eastAsia="方正小标宋简体" w:cs="方正小标宋简体"/>
          <w:bCs/>
          <w:color w:val="000000"/>
          <w:kern w:val="2"/>
          <w:sz w:val="28"/>
          <w:szCs w:val="28"/>
          <w:highlight w:val="none"/>
          <w:lang w:val="en-US" w:eastAsia="zh-CN"/>
        </w:rPr>
        <w:t>5</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highlight w:val="none"/>
          <w:lang w:val="en-US" w:eastAsia="zh-CN"/>
        </w:rPr>
        <w:t>外国企业在华专利独占性的技术路径依赖效应：来自集成电路制造业的证据</w:t>
      </w:r>
      <w:bookmarkEnd w:id="97"/>
    </w:p>
    <w:p w14:paraId="48539FB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蒋启蒙1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朱雪忠2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刘睿2</w:t>
      </w:r>
    </w:p>
    <w:p w14:paraId="53FECCEE">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1.华东政法大学知识产权学院</w:t>
      </w:r>
    </w:p>
    <w:p w14:paraId="2CAB81B3">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val="0"/>
          <w:bCs/>
          <w:color w:val="000000"/>
          <w:szCs w:val="21"/>
          <w:highlight w:val="none"/>
          <w:shd w:val="clear" w:color="auto" w:fill="FFFFFF"/>
          <w:lang w:eastAsia="zh-CN"/>
        </w:rPr>
        <w:t>2.同济大学上海国际知识产权学院</w:t>
      </w:r>
    </w:p>
    <w:p w14:paraId="5498CA3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国际科技竞争背景下，外国企业利用专利独占性机制对中国关键产业实施技术锁定战略，进而产生技术路径依赖效应并引发技术封锁危机。构建中国集成电路制造业专利集揭示外国企业在华专利独占性的技术路径依赖效应，结果表明，外国企业利用专利独占性机制阻碍后续创新者专利申请的授权以促进形成技术路径依赖效应。外国企业一方面倾向于在中外关系紧张、双边进出口贸易下行、中国对外开放程度降低、知识产权贸易逆差增大的情境下对华实施技术锁定战略，另一方面更聚焦于集成电路制造业的中游技术环节，选择原创性高的专利作为实施锁定战略的工具。研究结果为中国应对外国对华关键产业实施技术锁定战略乃至技术封锁政策提供了启示。</w:t>
      </w:r>
    </w:p>
    <w:p w14:paraId="19112030">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专利独占性；技术路径依赖；技术锁定；集成电路制造业</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（来源：《中国软科学》2025年第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p>
    <w:p w14:paraId="219A75F1">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98" w:name="_Toc105607364"/>
      <w:bookmarkStart w:id="99" w:name="_Toc11959"/>
      <w:bookmarkStart w:id="100" w:name="_Toc2855"/>
      <w:bookmarkStart w:id="101" w:name="_Toc876"/>
      <w:bookmarkStart w:id="102" w:name="_Toc28783"/>
      <w:bookmarkStart w:id="103" w:name="_Toc23028"/>
      <w:r>
        <w:rPr>
          <w:rFonts w:hint="eastAsia"/>
          <w:highlight w:val="none"/>
        </w:rPr>
        <w:t>外文</w:t>
      </w:r>
      <w:r>
        <w:rPr>
          <w:highlight w:val="none"/>
        </w:rP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highlight w:val="none"/>
          <w:lang w:eastAsia="zh-CN"/>
        </w:rPr>
      </w:pPr>
      <w:r>
        <w:rPr>
          <w:rFonts w:hint="eastAsia" w:ascii="Times New Roman" w:hAnsi="Times New Roman" w:eastAsia="微软雅黑" w:cs="微软雅黑"/>
          <w:b/>
          <w:bCs/>
          <w:color w:val="95B3D7"/>
          <w:szCs w:val="21"/>
          <w:highlight w:val="none"/>
          <w:lang w:eastAsia="zh-CN"/>
        </w:rPr>
        <w:t>选刊范围：</w:t>
      </w:r>
      <w:r>
        <w:rPr>
          <w:rFonts w:hint="eastAsia" w:ascii="Times New Roman" w:hAnsi="Times New Roman"/>
          <w:b/>
          <w:bCs/>
          <w:color w:val="95B3D7"/>
          <w:szCs w:val="21"/>
          <w:highlight w:val="none"/>
          <w:lang w:eastAsia="zh-CN"/>
        </w:rPr>
        <w:t>WOS</w:t>
      </w:r>
      <w:r>
        <w:rPr>
          <w:rFonts w:hint="eastAsia" w:ascii="Times New Roman" w:hAnsi="Times New Roman" w:eastAsia="微软雅黑" w:cs="微软雅黑"/>
          <w:b/>
          <w:bCs/>
          <w:color w:val="95B3D7"/>
          <w:szCs w:val="21"/>
          <w:highlight w:val="none"/>
          <w:lang w:eastAsia="zh-CN"/>
        </w:rPr>
        <w:t>数据库</w:t>
      </w:r>
      <w:r>
        <w:rPr>
          <w:rFonts w:hint="eastAsia" w:ascii="Times New Roman" w:hAnsi="Times New Roman"/>
          <w:b/>
          <w:bCs/>
          <w:color w:val="95B3D7"/>
          <w:szCs w:val="21"/>
          <w:highlight w:val="none"/>
          <w:lang w:eastAsia="zh-CN"/>
        </w:rPr>
        <w:t>SSCI</w:t>
      </w:r>
      <w:r>
        <w:rPr>
          <w:rFonts w:hint="eastAsia" w:ascii="Times New Roman" w:hAnsi="Times New Roman" w:eastAsia="微软雅黑" w:cs="微软雅黑"/>
          <w:b/>
          <w:bCs/>
          <w:color w:val="95B3D7"/>
          <w:szCs w:val="21"/>
          <w:highlight w:val="none"/>
          <w:lang w:eastAsia="zh-CN"/>
        </w:rPr>
        <w:t>外文</w:t>
      </w:r>
      <w:r>
        <w:rPr>
          <w:rFonts w:hint="eastAsia" w:ascii="Times New Roman" w:hAnsi="Times New Roman" w:eastAsia="微软雅黑" w:cs="微软雅黑"/>
          <w:b/>
          <w:bCs/>
          <w:color w:val="95B3D7"/>
          <w:szCs w:val="21"/>
          <w:highlight w:val="none"/>
          <w:lang w:val="en-US" w:eastAsia="zh-CN"/>
        </w:rPr>
        <w:t>法学</w:t>
      </w:r>
      <w:r>
        <w:rPr>
          <w:rFonts w:hint="eastAsia" w:ascii="Times New Roman" w:hAnsi="Times New Roman" w:eastAsia="微软雅黑" w:cs="微软雅黑"/>
          <w:b/>
          <w:bCs/>
          <w:color w:val="95B3D7"/>
          <w:szCs w:val="21"/>
          <w:highlight w:val="none"/>
          <w:lang w:eastAsia="zh-CN"/>
        </w:rPr>
        <w:t>期刊</w:t>
      </w:r>
    </w:p>
    <w:p w14:paraId="1501E7B6">
      <w:pPr>
        <w:widowControl/>
        <w:autoSpaceDE/>
        <w:autoSpaceDN/>
        <w:spacing w:before="800" w:after="200" w:line="480" w:lineRule="auto"/>
        <w:jc w:val="center"/>
        <w:outlineLvl w:val="1"/>
        <w:rPr>
          <w:rFonts w:hint="default" w:ascii="Times New Roman" w:hAnsi="Times New Roman" w:eastAsia="楷体" w:cs="Times New Roman"/>
          <w:b/>
          <w:color w:val="auto"/>
          <w:kern w:val="2"/>
          <w:sz w:val="32"/>
          <w:szCs w:val="32"/>
          <w:highlight w:val="none"/>
          <w:lang w:val="en-US" w:eastAsia="zh-CN"/>
        </w:rPr>
      </w:pPr>
      <w:bookmarkStart w:id="104" w:name="_Toc21285"/>
      <w:bookmarkStart w:id="105" w:name="_Toc1989"/>
      <w:bookmarkStart w:id="106" w:name="_Toc30715"/>
      <w:bookmarkStart w:id="107" w:name="_Toc24758"/>
      <w:bookmarkStart w:id="108" w:name="_Toc3930"/>
      <w:bookmarkStart w:id="109" w:name="_Toc31693"/>
      <w:bookmarkStart w:id="110" w:name="_Toc105607370"/>
      <w:bookmarkStart w:id="111" w:name="_Toc990"/>
      <w:r>
        <w:rPr>
          <w:rFonts w:hint="default" w:ascii="Times New Roman" w:hAnsi="Times New Roman" w:eastAsia="楷体" w:cs="Times New Roman"/>
          <w:b/>
          <w:color w:val="auto"/>
          <w:kern w:val="2"/>
          <w:sz w:val="32"/>
          <w:szCs w:val="32"/>
          <w:highlight w:val="none"/>
          <w:lang w:eastAsia="zh-CN"/>
        </w:rPr>
        <w:t xml:space="preserve">1. </w:t>
      </w:r>
      <w:bookmarkEnd w:id="104"/>
      <w:bookmarkEnd w:id="105"/>
      <w:bookmarkEnd w:id="106"/>
      <w:bookmarkEnd w:id="107"/>
      <w:r>
        <w:rPr>
          <w:rFonts w:hint="eastAsia" w:ascii="Times New Roman" w:hAnsi="Times New Roman" w:eastAsia="楷体" w:cs="Times New Roman"/>
          <w:b/>
          <w:color w:val="auto"/>
          <w:kern w:val="2"/>
          <w:sz w:val="32"/>
          <w:szCs w:val="32"/>
          <w:highlight w:val="none"/>
          <w:lang w:val="en-US" w:eastAsia="zh-CN"/>
        </w:rPr>
        <w:t>Regulating Hidden AI Authorship</w:t>
      </w:r>
      <w:bookmarkEnd w:id="108"/>
    </w:p>
    <w:p w14:paraId="21434AE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color w:val="auto"/>
          <w:sz w:val="21"/>
          <w:szCs w:val="21"/>
          <w:highlight w:val="none"/>
          <w:lang w:val="en-US" w:eastAsia="zh-CN"/>
        </w:rPr>
      </w:pPr>
      <w:r>
        <w:rPr>
          <w:rFonts w:hint="default" w:ascii="Times New Roman" w:hAnsi="Times New Roman" w:eastAsia="楷体" w:cs="Times New Roman"/>
          <w:b/>
          <w:bCs/>
          <w:color w:val="auto"/>
          <w:sz w:val="22"/>
          <w:szCs w:val="22"/>
          <w:highlight w:val="none"/>
          <w:lang w:val="en-US" w:eastAsia="zh-CN" w:bidi="ar-SA"/>
        </w:rPr>
        <w:t>作者：</w:t>
      </w:r>
      <w:r>
        <w:rPr>
          <w:rFonts w:hint="default" w:ascii="Times New Roman" w:hAnsi="Times New Roman" w:eastAsia="楷体" w:cs="Times New Roman"/>
          <w:b w:val="0"/>
          <w:bCs w:val="0"/>
          <w:color w:val="auto"/>
          <w:sz w:val="21"/>
          <w:szCs w:val="21"/>
          <w:highlight w:val="none"/>
          <w:lang w:eastAsia="zh-CN"/>
        </w:rPr>
        <w:t>Noti-Victor, J (Noti-Victor, Jacob)</w:t>
      </w:r>
      <w:r>
        <w:rPr>
          <w:rFonts w:hint="eastAsia" w:ascii="Times New Roman" w:hAnsi="Times New Roman" w:eastAsia="楷体" w:cs="Times New Roman"/>
          <w:b w:val="0"/>
          <w:bCs w:val="0"/>
          <w:color w:val="auto"/>
          <w:sz w:val="21"/>
          <w:szCs w:val="21"/>
          <w:highlight w:val="none"/>
          <w:lang w:val="en-US" w:eastAsia="zh-CN"/>
        </w:rPr>
        <w:t>1</w:t>
      </w:r>
    </w:p>
    <w:p w14:paraId="4D809DF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color w:val="auto"/>
          <w:sz w:val="21"/>
          <w:szCs w:val="21"/>
          <w:highlight w:val="none"/>
          <w:lang w:eastAsia="zh-CN"/>
        </w:rPr>
      </w:pPr>
      <w:r>
        <w:rPr>
          <w:rFonts w:hint="default" w:ascii="Times New Roman" w:hAnsi="Times New Roman" w:eastAsia="楷体" w:cs="Times New Roman"/>
          <w:b/>
          <w:bCs/>
          <w:color w:val="auto"/>
          <w:sz w:val="22"/>
          <w:szCs w:val="22"/>
          <w:highlight w:val="none"/>
          <w:lang w:val="en-US" w:eastAsia="zh-CN" w:bidi="ar-SA"/>
        </w:rPr>
        <w:t>机构：</w:t>
      </w:r>
      <w:r>
        <w:rPr>
          <w:rFonts w:hint="eastAsia" w:ascii="Times New Roman" w:hAnsi="Times New Roman" w:eastAsia="楷体" w:cs="Times New Roman"/>
          <w:b w:val="0"/>
          <w:bCs w:val="0"/>
          <w:color w:val="auto"/>
          <w:sz w:val="22"/>
          <w:szCs w:val="22"/>
          <w:highlight w:val="none"/>
          <w:lang w:val="en-US" w:eastAsia="zh-CN" w:bidi="ar-SA"/>
        </w:rPr>
        <w:t xml:space="preserve">1. </w:t>
      </w:r>
      <w:r>
        <w:rPr>
          <w:rFonts w:hint="default" w:ascii="Times New Roman" w:hAnsi="Times New Roman" w:eastAsia="楷体" w:cs="Times New Roman"/>
          <w:b w:val="0"/>
          <w:bCs w:val="0"/>
          <w:color w:val="auto"/>
          <w:sz w:val="21"/>
          <w:szCs w:val="21"/>
          <w:highlight w:val="none"/>
          <w:lang w:eastAsia="zh-CN"/>
        </w:rPr>
        <w:t>Cardozo Sch Law, New York, NY 10003 USA</w:t>
      </w:r>
    </w:p>
    <w:p w14:paraId="5AA4B17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color w:val="auto"/>
          <w:sz w:val="21"/>
          <w:szCs w:val="21"/>
          <w:highlight w:val="none"/>
          <w:lang w:eastAsia="zh-CN"/>
        </w:rPr>
      </w:pPr>
      <w:r>
        <w:rPr>
          <w:rFonts w:hint="default" w:ascii="Times New Roman" w:hAnsi="Times New Roman" w:eastAsia="楷体" w:cs="Times New Roman"/>
          <w:b/>
          <w:bCs/>
          <w:color w:val="auto"/>
          <w:sz w:val="22"/>
          <w:szCs w:val="22"/>
          <w:highlight w:val="none"/>
          <w:lang w:val="en-US" w:eastAsia="zh-CN" w:bidi="ar-SA"/>
        </w:rPr>
        <w:t>摘要：</w:t>
      </w:r>
      <w:r>
        <w:rPr>
          <w:rFonts w:hint="default" w:ascii="Times New Roman" w:hAnsi="Times New Roman" w:eastAsia="楷体" w:cs="Times New Roman"/>
          <w:b w:val="0"/>
          <w:bCs w:val="0"/>
          <w:color w:val="auto"/>
          <w:sz w:val="21"/>
          <w:szCs w:val="21"/>
          <w:highlight w:val="none"/>
          <w:lang w:eastAsia="zh-CN"/>
        </w:rPr>
        <w:t>With the rapid emergence of high-quality generative artificial intelligence ("AI"), some have advocated for mandatory disclosure when the technology is used to generate new text, images, or video. But the precise harms posed by nontransparent uses of generative AI have not been fully explored. While the use of the technology to produce material that masquerades as factual ("deepfakes") is clearly deceptive, this Article focuses on a more ambiguous area: the consumer's interest in knowing whether works of art or entertainment were created using generative AI. In the markets for creative content-fine art, books, movies, television, music, and the like-producers have several financial reasons to hide the role of</w:t>
      </w:r>
      <w:r>
        <w:rPr>
          <w:rFonts w:hint="eastAsia" w:ascii="Times New Roman" w:hAnsi="Times New Roman" w:eastAsia="楷体" w:cs="Times New Roman"/>
          <w:b w:val="0"/>
          <w:bCs w:val="0"/>
          <w:color w:val="auto"/>
          <w:sz w:val="21"/>
          <w:szCs w:val="21"/>
          <w:highlight w:val="none"/>
          <w:lang w:val="en-US" w:eastAsia="zh-CN"/>
        </w:rPr>
        <w:t xml:space="preserve"> </w:t>
      </w:r>
      <w:r>
        <w:rPr>
          <w:rFonts w:hint="default" w:ascii="Times New Roman" w:hAnsi="Times New Roman" w:eastAsia="楷体" w:cs="Times New Roman"/>
          <w:b w:val="0"/>
          <w:bCs w:val="0"/>
          <w:color w:val="auto"/>
          <w:sz w:val="21"/>
          <w:szCs w:val="21"/>
          <w:highlight w:val="none"/>
          <w:lang w:eastAsia="zh-CN"/>
        </w:rPr>
        <w:t>generative AI in a work's creation. Copyright law is partially responsible. The Copyright Office and courts have concluded that only human-authored works are copyrightable, meaning much AI-generated content falls directly into the public domain. Producers thus have an incentive to conceal the role of generative AI in a work's creation because disclosure could jeopardize their ability to secure copyright protection and monetize the work. Whether and why this obfuscation harms consumers is a different matter. The law has never required disclosure of the precise ways a work is created; indeed, failing to publicly disclose the use of a ghostwriter or other creative assistance is not actionable. But AI authorship is different for several reasons. There is growing evidence that consumers have strong ethical and aesthetic preferences for human-created works and understand the failure to disclose AI authorship as deceptive. Moreover, hidden AI authorship is normatively problematic from the perspective of various theories of artistic value. Works that masquerade as human-made destabilize art's ability to encourage self-definition, empathy, and democratic engagement, turning all creative works into exclusively entertainment-focused commodities. This Article also investigates ways to facilitate disclosure of the use of generative AI in creative works. Industry actors could be motivated to self-regulate, adopting a provenance-tracking or certification scheme. And Federal Trade Commission ("FTC") enforcement could provide some additional checks on the misleading use of AI in a work's creation. Intellectual property law could also help incentivize disclosure. In particular, doctrines designed to prevent the overclaiming of material in the public domain-such as copyright misuse-could be used to raise the financial stakes off</w:t>
      </w:r>
      <w:r>
        <w:rPr>
          <w:rFonts w:hint="eastAsia" w:ascii="Times New Roman" w:hAnsi="Times New Roman" w:eastAsia="楷体" w:cs="Times New Roman"/>
          <w:b w:val="0"/>
          <w:bCs w:val="0"/>
          <w:color w:val="auto"/>
          <w:sz w:val="21"/>
          <w:szCs w:val="21"/>
          <w:highlight w:val="none"/>
          <w:lang w:val="en-US" w:eastAsia="zh-CN"/>
        </w:rPr>
        <w:t xml:space="preserve"> </w:t>
      </w:r>
      <w:r>
        <w:rPr>
          <w:rFonts w:hint="default" w:ascii="Times New Roman" w:hAnsi="Times New Roman" w:eastAsia="楷体" w:cs="Times New Roman"/>
          <w:b w:val="0"/>
          <w:bCs w:val="0"/>
          <w:color w:val="auto"/>
          <w:sz w:val="21"/>
          <w:szCs w:val="21"/>
          <w:highlight w:val="none"/>
          <w:lang w:eastAsia="zh-CN"/>
        </w:rPr>
        <w:t>ailing to disclose the role of</w:t>
      </w:r>
      <w:r>
        <w:rPr>
          <w:rFonts w:hint="eastAsia" w:ascii="Times New Roman" w:hAnsi="Times New Roman" w:eastAsia="楷体" w:cs="Times New Roman"/>
          <w:b w:val="0"/>
          <w:bCs w:val="0"/>
          <w:color w:val="auto"/>
          <w:sz w:val="21"/>
          <w:szCs w:val="21"/>
          <w:highlight w:val="none"/>
          <w:lang w:val="en-US" w:eastAsia="zh-CN"/>
        </w:rPr>
        <w:t xml:space="preserve"> </w:t>
      </w:r>
      <w:r>
        <w:rPr>
          <w:rFonts w:hint="default" w:ascii="Times New Roman" w:hAnsi="Times New Roman" w:eastAsia="楷体" w:cs="Times New Roman"/>
          <w:b w:val="0"/>
          <w:bCs w:val="0"/>
          <w:color w:val="auto"/>
          <w:sz w:val="21"/>
          <w:szCs w:val="21"/>
          <w:highlight w:val="none"/>
          <w:lang w:eastAsia="zh-CN"/>
        </w:rPr>
        <w:t>AI in a work's creation.</w:t>
      </w:r>
    </w:p>
    <w:p w14:paraId="231972F9">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2"/>
          <w:szCs w:val="22"/>
          <w:highlight w:val="none"/>
          <w:lang w:val="en-US" w:eastAsia="zh-CN" w:bidi="ar-SA"/>
        </w:rPr>
      </w:pPr>
      <w:r>
        <w:rPr>
          <w:rFonts w:hint="default" w:ascii="Times New Roman" w:hAnsi="Times New Roman" w:eastAsia="楷体" w:cs="Times New Roman"/>
          <w:b/>
          <w:bCs/>
          <w:sz w:val="22"/>
          <w:szCs w:val="22"/>
          <w:highlight w:val="none"/>
          <w:lang w:val="en-US" w:eastAsia="zh-CN" w:bidi="ar-SA"/>
        </w:rPr>
        <w:t>关键词</w:t>
      </w:r>
      <w:r>
        <w:rPr>
          <w:rFonts w:hint="eastAsia" w:ascii="Times New Roman" w:hAnsi="Times New Roman" w:eastAsia="楷体" w:cs="Times New Roman"/>
          <w:b/>
          <w:bCs/>
          <w:sz w:val="22"/>
          <w:szCs w:val="22"/>
          <w:highlight w:val="none"/>
          <w:lang w:val="en-US" w:eastAsia="zh-CN" w:bidi="ar-SA"/>
        </w:rPr>
        <w:t>：</w:t>
      </w:r>
      <w:r>
        <w:rPr>
          <w:rFonts w:hint="eastAsia" w:ascii="Times New Roman" w:hAnsi="Times New Roman" w:eastAsia="楷体" w:cs="Times New Roman"/>
          <w:b w:val="0"/>
          <w:bCs w:val="0"/>
          <w:sz w:val="22"/>
          <w:szCs w:val="22"/>
          <w:highlight w:val="none"/>
          <w:lang w:val="en-US" w:eastAsia="zh-CN" w:bidi="ar-SA"/>
        </w:rPr>
        <w:t>Fair-use; Copyright; Law</w:t>
      </w:r>
    </w:p>
    <w:p w14:paraId="470458D6">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 xml:space="preserve">（来源：VIRGINIA LAW REVIEW. Volume </w:t>
      </w:r>
      <w:r>
        <w:rPr>
          <w:rFonts w:hint="eastAsia" w:ascii="Times New Roman" w:hAnsi="Times New Roman" w:eastAsia="楷体" w:cs="Times New Roman"/>
          <w:color w:val="0070C0"/>
          <w:sz w:val="21"/>
          <w:szCs w:val="21"/>
          <w:highlight w:val="none"/>
          <w:lang w:val="en-US" w:eastAsia="zh-CN"/>
        </w:rPr>
        <w:t>111</w:t>
      </w:r>
      <w:r>
        <w:rPr>
          <w:rFonts w:hint="default" w:ascii="Times New Roman" w:hAnsi="Times New Roman" w:eastAsia="楷体" w:cs="Times New Roman"/>
          <w:color w:val="0070C0"/>
          <w:sz w:val="21"/>
          <w:szCs w:val="21"/>
          <w:highlight w:val="none"/>
          <w:lang w:eastAsia="zh-CN"/>
        </w:rPr>
        <w:t xml:space="preserve">. Issue </w:t>
      </w:r>
      <w:r>
        <w:rPr>
          <w:rFonts w:hint="eastAsia" w:ascii="Times New Roman" w:hAnsi="Times New Roman" w:eastAsia="楷体" w:cs="Times New Roman"/>
          <w:color w:val="0070C0"/>
          <w:sz w:val="21"/>
          <w:szCs w:val="21"/>
          <w:highlight w:val="none"/>
          <w:lang w:val="en-US" w:eastAsia="zh-CN"/>
        </w:rPr>
        <w:t>3</w:t>
      </w:r>
      <w:r>
        <w:rPr>
          <w:rFonts w:hint="default" w:ascii="Times New Roman" w:hAnsi="Times New Roman" w:eastAsia="楷体" w:cs="Times New Roman"/>
          <w:color w:val="0070C0"/>
          <w:sz w:val="21"/>
          <w:szCs w:val="21"/>
          <w:highlight w:val="none"/>
          <w:lang w:eastAsia="zh-CN"/>
        </w:rPr>
        <w:t xml:space="preserve">. Page </w:t>
      </w:r>
      <w:r>
        <w:rPr>
          <w:rFonts w:hint="eastAsia" w:ascii="Times New Roman" w:hAnsi="Times New Roman" w:eastAsia="楷体" w:cs="Times New Roman"/>
          <w:color w:val="0070C0"/>
          <w:sz w:val="21"/>
          <w:szCs w:val="21"/>
          <w:highlight w:val="none"/>
          <w:lang w:val="en-US" w:eastAsia="zh-CN"/>
        </w:rPr>
        <w:t>139</w:t>
      </w:r>
      <w:r>
        <w:rPr>
          <w:rFonts w:hint="default" w:ascii="Times New Roman" w:hAnsi="Times New Roman" w:eastAsia="楷体" w:cs="Times New Roman"/>
          <w:color w:val="0070C0"/>
          <w:sz w:val="21"/>
          <w:szCs w:val="21"/>
          <w:highlight w:val="none"/>
          <w:lang w:eastAsia="zh-CN"/>
        </w:rPr>
        <w:t>-</w:t>
      </w:r>
      <w:r>
        <w:rPr>
          <w:rFonts w:hint="eastAsia" w:ascii="Times New Roman" w:hAnsi="Times New Roman" w:eastAsia="楷体" w:cs="Times New Roman"/>
          <w:color w:val="0070C0"/>
          <w:sz w:val="21"/>
          <w:szCs w:val="21"/>
          <w:highlight w:val="none"/>
          <w:lang w:val="en-US" w:eastAsia="zh-CN"/>
        </w:rPr>
        <w:t>2</w:t>
      </w:r>
      <w:r>
        <w:rPr>
          <w:rFonts w:hint="default" w:ascii="Times New Roman" w:hAnsi="Times New Roman" w:eastAsia="楷体" w:cs="Times New Roman"/>
          <w:color w:val="0070C0"/>
          <w:sz w:val="21"/>
          <w:szCs w:val="21"/>
          <w:highlight w:val="none"/>
          <w:lang w:eastAsia="zh-CN"/>
        </w:rPr>
        <w:t>10. May 2025</w:t>
      </w:r>
      <w:r>
        <w:rPr>
          <w:rFonts w:hint="eastAsia" w:ascii="Times New Roman" w:hAnsi="Times New Roman" w:eastAsia="楷体" w:cs="Times New Roman"/>
          <w:color w:val="0070C0"/>
          <w:sz w:val="21"/>
          <w:szCs w:val="21"/>
          <w:highlight w:val="none"/>
          <w:lang w:eastAsia="zh-CN"/>
        </w:rPr>
        <w:t>）</w:t>
      </w:r>
    </w:p>
    <w:bookmarkEnd w:id="109"/>
    <w:p w14:paraId="5F192233">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highlight w:val="none"/>
          <w:lang w:val="en-US" w:eastAsia="zh-CN"/>
        </w:rPr>
      </w:pPr>
      <w:bookmarkStart w:id="112" w:name="_Toc29242"/>
      <w:bookmarkStart w:id="113" w:name="_Toc10992"/>
      <w:bookmarkStart w:id="114" w:name="_Toc28793"/>
      <w:bookmarkStart w:id="115" w:name="_Toc9526"/>
      <w:r>
        <w:rPr>
          <w:rFonts w:hint="eastAsia" w:ascii="Times New Roman" w:hAnsi="Times New Roman" w:eastAsia="楷体" w:cs="Times New Roman"/>
          <w:b/>
          <w:color w:val="auto"/>
          <w:kern w:val="2"/>
          <w:sz w:val="32"/>
          <w:szCs w:val="32"/>
          <w:highlight w:val="none"/>
          <w:lang w:val="en-US" w:eastAsia="zh-CN"/>
        </w:rPr>
        <w:t>2</w:t>
      </w:r>
      <w:r>
        <w:rPr>
          <w:rFonts w:hint="default" w:ascii="Times New Roman" w:hAnsi="Times New Roman" w:eastAsia="楷体" w:cs="Times New Roman"/>
          <w:b/>
          <w:color w:val="auto"/>
          <w:kern w:val="2"/>
          <w:sz w:val="32"/>
          <w:szCs w:val="32"/>
          <w:highlight w:val="none"/>
          <w:lang w:eastAsia="zh-CN"/>
        </w:rPr>
        <w:t xml:space="preserve">. </w:t>
      </w:r>
      <w:bookmarkEnd w:id="112"/>
      <w:bookmarkEnd w:id="113"/>
      <w:bookmarkEnd w:id="114"/>
      <w:r>
        <w:rPr>
          <w:rFonts w:hint="default" w:ascii="Times New Roman" w:hAnsi="Times New Roman" w:eastAsia="楷体" w:cs="Times New Roman"/>
          <w:b/>
          <w:color w:val="auto"/>
          <w:kern w:val="2"/>
          <w:sz w:val="32"/>
          <w:szCs w:val="32"/>
          <w:highlight w:val="none"/>
          <w:lang w:eastAsia="zh-CN"/>
        </w:rPr>
        <w:t>Access Revisited: A</w:t>
      </w:r>
      <w:r>
        <w:rPr>
          <w:rFonts w:hint="eastAsia" w:ascii="Times New Roman" w:hAnsi="Times New Roman" w:eastAsia="楷体" w:cs="Times New Roman"/>
          <w:b/>
          <w:color w:val="auto"/>
          <w:kern w:val="2"/>
          <w:sz w:val="32"/>
          <w:szCs w:val="32"/>
          <w:highlight w:val="none"/>
          <w:lang w:val="en-US" w:eastAsia="zh-CN"/>
        </w:rPr>
        <w:t>I</w:t>
      </w:r>
      <w:r>
        <w:rPr>
          <w:rFonts w:hint="default" w:ascii="Times New Roman" w:hAnsi="Times New Roman" w:eastAsia="楷体" w:cs="Times New Roman"/>
          <w:b/>
          <w:color w:val="auto"/>
          <w:kern w:val="2"/>
          <w:sz w:val="32"/>
          <w:szCs w:val="32"/>
          <w:highlight w:val="none"/>
          <w:lang w:eastAsia="zh-CN"/>
        </w:rPr>
        <w:t xml:space="preserve"> Training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 xml:space="preserve">t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 xml:space="preserve">he Intersection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 xml:space="preserve">f Copyright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nd Cybercrime Laws</w:t>
      </w:r>
      <w:bookmarkEnd w:id="115"/>
    </w:p>
    <w:p w14:paraId="109C3EC3">
      <w:pPr>
        <w:spacing w:before="120" w:beforeLines="50" w:after="120" w:afterLines="50" w:line="360" w:lineRule="auto"/>
        <w:jc w:val="both"/>
        <w:rPr>
          <w:rFonts w:hint="default" w:ascii="Times New Roman" w:hAnsi="Times New Roman" w:eastAsia="楷体" w:cs="Times New Roman"/>
          <w:b w:val="0"/>
          <w:bCs w:val="0"/>
          <w:color w:val="auto"/>
          <w:sz w:val="21"/>
          <w:szCs w:val="21"/>
          <w:highlight w:val="none"/>
          <w:lang w:val="en-US" w:eastAsia="zh-CN"/>
        </w:rPr>
      </w:pPr>
      <w:r>
        <w:rPr>
          <w:rFonts w:hint="eastAsia" w:ascii="Times New Roman" w:hAnsi="Times New Roman" w:eastAsia="楷体" w:cs="Times New Roman"/>
          <w:b/>
          <w:bCs/>
          <w:color w:val="auto"/>
          <w:sz w:val="22"/>
          <w:szCs w:val="22"/>
          <w:highlight w:val="none"/>
          <w:lang w:val="en-US" w:eastAsia="zh-CN"/>
        </w:rPr>
        <w:t>作者：</w:t>
      </w:r>
      <w:r>
        <w:rPr>
          <w:rFonts w:hint="eastAsia" w:ascii="Times New Roman" w:hAnsi="Times New Roman" w:eastAsia="楷体" w:cs="Times New Roman"/>
          <w:b w:val="0"/>
          <w:bCs w:val="0"/>
          <w:color w:val="auto"/>
          <w:sz w:val="21"/>
          <w:szCs w:val="21"/>
          <w:highlight w:val="none"/>
          <w:lang w:val="en-US" w:eastAsia="zh-CN"/>
        </w:rPr>
        <w:t>Matias, CFF (Matias, Celia Filipa Ferreira)1</w:t>
      </w:r>
    </w:p>
    <w:p w14:paraId="7958DA77">
      <w:pPr>
        <w:spacing w:before="120" w:beforeLines="50" w:after="120" w:afterLines="50" w:line="360" w:lineRule="auto"/>
        <w:jc w:val="both"/>
        <w:rPr>
          <w:rFonts w:hint="eastAsia" w:ascii="Times New Roman" w:hAnsi="Times New Roman" w:eastAsia="楷体" w:cs="Times New Roman"/>
          <w:b w:val="0"/>
          <w:bCs w:val="0"/>
          <w:sz w:val="22"/>
          <w:szCs w:val="22"/>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2"/>
          <w:szCs w:val="22"/>
          <w:highlight w:val="none"/>
          <w:lang w:val="en-US" w:eastAsia="zh-CN"/>
        </w:rPr>
        <w:t>1. Univ Macau, Fac Law, Taipa, Peoples R China</w:t>
      </w:r>
    </w:p>
    <w:p w14:paraId="5DBB640C">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The rise of generative AI (GenAI) poses urgent questions for copyright law, particularly regarding whether AI training infringes on reproduction rights. Some jurisdictions have tried to reduce these uncertainties through new or existing exceptions. Articles 3 and 4 of European Union Directive 2019/790 and sections 243 and 244 of Singapore's Copyright Act of 2021 are examples. Both exceptions are subject to the condition of 'lawful access'. The interpretation of this concept, which is vague and undefined by law, is crucial to these exceptions, as it may, ultimately, deprive them of all usefulness. This paper seeks to unpack the meaning of lawful access and its inverse by drawing on other uses of the concept, namely in cybercrime law, and its underlying values. This analysis points towards an understanding of unlawful access as the circumvention of technological restrictions to access, such as paywalls. However, adopting such measures may reduce the content that is freely available in the digital sphere, thereby impoverishing society and depriving creators of a powerful tool for publicising their works. Finally, the paper considers possible solutions to this problem and their drawbacks.</w:t>
      </w:r>
    </w:p>
    <w:p w14:paraId="7B8D9DB0">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left="0" w:firstLine="0" w:firstLineChars="0"/>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Copyright; Text and data mining; Unlawful access; Generative AI</w:t>
      </w:r>
    </w:p>
    <w:p w14:paraId="55674975">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（来源：COMPUTER LAW &amp; SECURITY REVIEW. Volume 57. Jul 2025）</w:t>
      </w:r>
    </w:p>
    <w:p w14:paraId="5D430E75">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highlight w:val="none"/>
          <w:lang w:val="en-US" w:eastAsia="zh-CN"/>
        </w:rPr>
      </w:pPr>
      <w:bookmarkStart w:id="116" w:name="_Toc249"/>
      <w:bookmarkStart w:id="117" w:name="_Toc20189"/>
      <w:bookmarkStart w:id="118" w:name="_Toc31783"/>
      <w:bookmarkStart w:id="119" w:name="_Toc30854"/>
      <w:r>
        <w:rPr>
          <w:rFonts w:hint="eastAsia" w:ascii="Times New Roman" w:hAnsi="Times New Roman" w:eastAsia="楷体" w:cs="Times New Roman"/>
          <w:b/>
          <w:color w:val="auto"/>
          <w:kern w:val="2"/>
          <w:sz w:val="32"/>
          <w:szCs w:val="32"/>
          <w:highlight w:val="none"/>
          <w:lang w:val="en-US" w:eastAsia="zh-CN"/>
        </w:rPr>
        <w:t>3</w:t>
      </w:r>
      <w:r>
        <w:rPr>
          <w:rFonts w:hint="default" w:ascii="Times New Roman" w:hAnsi="Times New Roman" w:eastAsia="楷体" w:cs="Times New Roman"/>
          <w:b/>
          <w:color w:val="auto"/>
          <w:kern w:val="2"/>
          <w:sz w:val="32"/>
          <w:szCs w:val="32"/>
          <w:highlight w:val="none"/>
          <w:lang w:eastAsia="zh-CN"/>
        </w:rPr>
        <w:t xml:space="preserve">. </w:t>
      </w:r>
      <w:bookmarkEnd w:id="116"/>
      <w:bookmarkEnd w:id="117"/>
      <w:r>
        <w:rPr>
          <w:rFonts w:hint="default" w:ascii="Times New Roman" w:hAnsi="Times New Roman" w:eastAsia="楷体" w:cs="Times New Roman"/>
          <w:b/>
          <w:color w:val="auto"/>
          <w:kern w:val="2"/>
          <w:sz w:val="32"/>
          <w:szCs w:val="32"/>
          <w:highlight w:val="none"/>
          <w:lang w:val="en-US" w:eastAsia="zh-CN"/>
        </w:rPr>
        <w:t xml:space="preserve">Choosing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 xml:space="preserve">he Lesser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val="en-US" w:eastAsia="zh-CN"/>
        </w:rPr>
        <w:t xml:space="preserve">f Two Evils: Reevaluating Absolute Protection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val="en-US" w:eastAsia="zh-CN"/>
        </w:rPr>
        <w:t>f Geographical Indications</w:t>
      </w:r>
      <w:bookmarkEnd w:id="118"/>
    </w:p>
    <w:p w14:paraId="2F82C3E6">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作者：</w:t>
      </w:r>
      <w:r>
        <w:rPr>
          <w:rFonts w:hint="eastAsia" w:ascii="Times New Roman" w:hAnsi="Times New Roman" w:eastAsia="楷体" w:cs="Times New Roman"/>
          <w:b w:val="0"/>
          <w:bCs w:val="0"/>
          <w:sz w:val="21"/>
          <w:szCs w:val="21"/>
          <w:highlight w:val="none"/>
          <w:lang w:val="en-US" w:eastAsia="zh-CN"/>
        </w:rPr>
        <w:t>Song, XZ (Song, Xinzhe)1</w:t>
      </w:r>
    </w:p>
    <w:p w14:paraId="67054AB0">
      <w:pPr>
        <w:spacing w:before="120" w:beforeLines="50" w:after="120" w:afterLines="50" w:line="360" w:lineRule="auto"/>
        <w:jc w:val="both"/>
        <w:rPr>
          <w:rFonts w:hint="eastAsia" w:ascii="Times New Roman" w:hAnsi="Times New Roman" w:eastAsia="楷体" w:cs="Times New Roman"/>
          <w:b/>
          <w:bCs/>
          <w:sz w:val="22"/>
          <w:szCs w:val="22"/>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2"/>
          <w:szCs w:val="22"/>
          <w:highlight w:val="none"/>
          <w:lang w:val="en-US" w:eastAsia="zh-CN"/>
        </w:rPr>
        <w:t>1. Hainan Univ, Law Sch, Haikou, Hainan, Peoples R China</w:t>
      </w:r>
    </w:p>
    <w:p w14:paraId="70B53A76">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This study delves into the complicated challenge of defining the optimal level of protection for geographical indications (GIs). It explores the choice between absolute protection and confusion-based protection, further dissecting the nuances between two methodologies for instituting absolute protection: the 'Origin-Only' and the 'Origin+Quality' criteria. By evaluating the administrative and error-related costs associated with these approaches, the article critically assesses the rationale for adopting either model, using France as a case study. Drawing from the philosophical principle of 'choosing the lesser of two evils', this article advocates for a strategy that acknowledges the inevitability of costs while opting for the protection approach with a minimal cost burden. The conclusion suggests that absolute protection, specifically the 'Origin+Quality' criterion, may offer a more efficient solution in minimizing overall costs, thus rendering it a preferable option for countries. Additionally, the article highlights the necessity for considering infringement exemption measures when instituting absolute protection or the 'Origin+Quality' test, to alleviate the associated error costs.</w:t>
      </w:r>
    </w:p>
    <w:p w14:paraId="0DC1C7A6">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Trademark; Origin; Costs</w:t>
      </w:r>
    </w:p>
    <w:p w14:paraId="11BF2959">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 xml:space="preserve">（来源：QUEEN MARY JOURNAL OF INTELLECTUAL PROPERTY. Volume 15. Issue 2. Page </w:t>
      </w:r>
      <w:r>
        <w:rPr>
          <w:rFonts w:hint="eastAsia" w:ascii="Times New Roman" w:hAnsi="Times New Roman" w:eastAsia="楷体" w:cs="Times New Roman"/>
          <w:color w:val="0070C0"/>
          <w:sz w:val="21"/>
          <w:szCs w:val="21"/>
          <w:highlight w:val="none"/>
          <w:lang w:val="en-US" w:eastAsia="zh-CN"/>
        </w:rPr>
        <w:t>149</w:t>
      </w:r>
      <w:r>
        <w:rPr>
          <w:rFonts w:hint="default" w:ascii="Times New Roman" w:hAnsi="Times New Roman" w:eastAsia="楷体" w:cs="Times New Roman"/>
          <w:color w:val="0070C0"/>
          <w:sz w:val="21"/>
          <w:szCs w:val="21"/>
          <w:highlight w:val="none"/>
          <w:lang w:eastAsia="zh-CN"/>
        </w:rPr>
        <w:t>-</w:t>
      </w:r>
      <w:r>
        <w:rPr>
          <w:rFonts w:hint="eastAsia" w:ascii="Times New Roman" w:hAnsi="Times New Roman" w:eastAsia="楷体" w:cs="Times New Roman"/>
          <w:color w:val="0070C0"/>
          <w:sz w:val="21"/>
          <w:szCs w:val="21"/>
          <w:highlight w:val="none"/>
          <w:lang w:val="en-US" w:eastAsia="zh-CN"/>
        </w:rPr>
        <w:t>175</w:t>
      </w:r>
      <w:r>
        <w:rPr>
          <w:rFonts w:hint="default" w:ascii="Times New Roman" w:hAnsi="Times New Roman" w:eastAsia="楷体" w:cs="Times New Roman"/>
          <w:color w:val="0070C0"/>
          <w:sz w:val="21"/>
          <w:szCs w:val="21"/>
          <w:highlight w:val="none"/>
          <w:lang w:eastAsia="zh-CN"/>
        </w:rPr>
        <w:t>. Apr 2025</w:t>
      </w:r>
      <w:r>
        <w:rPr>
          <w:rFonts w:hint="eastAsia" w:ascii="Times New Roman" w:hAnsi="Times New Roman" w:eastAsia="楷体" w:cs="Times New Roman"/>
          <w:color w:val="0070C0"/>
          <w:sz w:val="21"/>
          <w:szCs w:val="21"/>
          <w:highlight w:val="none"/>
          <w:lang w:val="en-US" w:eastAsia="zh-CN"/>
        </w:rPr>
        <w:t>）</w:t>
      </w:r>
    </w:p>
    <w:bookmarkEnd w:id="119"/>
    <w:p w14:paraId="73D1913A">
      <w:pPr>
        <w:widowControl/>
        <w:autoSpaceDE/>
        <w:autoSpaceDN/>
        <w:spacing w:before="800" w:after="200" w:line="480" w:lineRule="auto"/>
        <w:jc w:val="center"/>
        <w:outlineLvl w:val="1"/>
        <w:rPr>
          <w:rFonts w:hint="eastAsia" w:ascii="Times New Roman" w:hAnsi="Times New Roman" w:eastAsia="楷体" w:cs="Times New Roman"/>
          <w:b/>
          <w:bCs/>
          <w:color w:val="auto"/>
          <w:kern w:val="2"/>
          <w:sz w:val="32"/>
          <w:szCs w:val="32"/>
          <w:highlight w:val="none"/>
          <w:lang w:val="en-US" w:eastAsia="zh-CN"/>
        </w:rPr>
      </w:pPr>
      <w:bookmarkStart w:id="120" w:name="_Toc22842"/>
      <w:bookmarkStart w:id="121" w:name="_Toc20348"/>
      <w:bookmarkStart w:id="122" w:name="_Toc15802"/>
      <w:bookmarkStart w:id="123" w:name="_Toc12984"/>
      <w:r>
        <w:rPr>
          <w:rFonts w:hint="eastAsia" w:ascii="Times New Roman" w:hAnsi="Times New Roman" w:eastAsia="楷体" w:cs="Times New Roman"/>
          <w:b/>
          <w:color w:val="auto"/>
          <w:kern w:val="2"/>
          <w:sz w:val="32"/>
          <w:szCs w:val="32"/>
          <w:highlight w:val="none"/>
          <w:lang w:val="en-US" w:eastAsia="zh-CN"/>
        </w:rPr>
        <w:t>4</w:t>
      </w:r>
      <w:r>
        <w:rPr>
          <w:rFonts w:hint="default" w:ascii="Times New Roman" w:hAnsi="Times New Roman" w:eastAsia="楷体" w:cs="Times New Roman"/>
          <w:b/>
          <w:color w:val="auto"/>
          <w:kern w:val="2"/>
          <w:sz w:val="32"/>
          <w:szCs w:val="32"/>
          <w:highlight w:val="none"/>
          <w:lang w:eastAsia="zh-CN"/>
        </w:rPr>
        <w:t xml:space="preserve">. </w:t>
      </w:r>
      <w:bookmarkEnd w:id="120"/>
      <w:bookmarkEnd w:id="121"/>
      <w:r>
        <w:rPr>
          <w:rFonts w:hint="eastAsia" w:ascii="Times New Roman" w:hAnsi="Times New Roman" w:eastAsia="楷体" w:cs="Times New Roman"/>
          <w:b/>
          <w:color w:val="auto"/>
          <w:kern w:val="2"/>
          <w:sz w:val="32"/>
          <w:szCs w:val="32"/>
          <w:highlight w:val="none"/>
          <w:lang w:val="en-US" w:eastAsia="zh-CN"/>
        </w:rPr>
        <w:t>Late Disclosures of Federal Funding in US Patents</w:t>
      </w:r>
      <w:bookmarkEnd w:id="122"/>
    </w:p>
    <w:p w14:paraId="6D32C294">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作者：</w:t>
      </w:r>
      <w:r>
        <w:rPr>
          <w:rFonts w:hint="eastAsia" w:ascii="Times New Roman" w:hAnsi="Times New Roman" w:eastAsia="楷体" w:cs="Times New Roman"/>
          <w:b w:val="0"/>
          <w:bCs w:val="0"/>
          <w:sz w:val="21"/>
          <w:szCs w:val="21"/>
          <w:highlight w:val="none"/>
          <w:lang w:val="en-US" w:eastAsia="zh-CN"/>
        </w:rPr>
        <w:t>Abinader, LG (Abinader, Luis Gil)1</w:t>
      </w:r>
    </w:p>
    <w:p w14:paraId="54FA78D6">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Georgetown Univ, 600 New Jersey Ave NW, Washington, DC 20001 USA</w:t>
      </w:r>
    </w:p>
    <w:p w14:paraId="6E8D9EA1">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Enacted primarily to encourage patents on federally funded inventions, an additional policy objective of the Bayh-Dole Act is to increase visibility around scientific discoveries made with US government support. The Bayh-Dole Act requires federal grantees to disclose subject inventions to funding agencies and declare government support in their patents. Prior research has shown, however, that hundreds of grantees have failed to declare federal funding in biomedical patents, and others have acknowledged government support several years late through certificates of corrections. Combining data from the National Institutes of Health and the Patent and Trademark Office, this study explores the extent to which grantees have declared government support late through certificates of corrections and likely reasons why this occurred. Over 3000 patents covering federally funded inventions have been corrected to acknowledge government support late, most in recent years. Many of these corrections appear to have been driven by high-profile controversies, changes in the Bayh-Dole regulations, and civil society advocacy. These findings call for policies to encourage timely compliance with invention reporting requirements and to increase the visibility of late acknowledgements of US government funding.</w:t>
      </w:r>
    </w:p>
    <w:p w14:paraId="520D3AB2">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Accountability; Bayh-Dole; Patents; Pharmaceuticals; NIH</w:t>
      </w:r>
    </w:p>
    <w:p w14:paraId="1817E08D">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（来源：JOURNAL OF LAW AND THE BIOSCIENCES. 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 xml:space="preserve">12. Issue </w:t>
      </w:r>
      <w:r>
        <w:rPr>
          <w:rFonts w:hint="eastAsia" w:ascii="Times New Roman" w:hAnsi="Times New Roman" w:eastAsia="楷体" w:cs="Times New Roman"/>
          <w:color w:val="0070C0"/>
          <w:sz w:val="21"/>
          <w:szCs w:val="21"/>
          <w:highlight w:val="none"/>
          <w:lang w:val="en-US" w:eastAsia="zh-CN"/>
        </w:rPr>
        <w:t>1</w:t>
      </w:r>
      <w:r>
        <w:rPr>
          <w:rFonts w:hint="default" w:ascii="Times New Roman" w:hAnsi="Times New Roman" w:eastAsia="楷体" w:cs="Times New Roman"/>
          <w:color w:val="0070C0"/>
          <w:sz w:val="21"/>
          <w:szCs w:val="21"/>
          <w:highlight w:val="none"/>
          <w:lang w:eastAsia="zh-CN"/>
        </w:rPr>
        <w:t>.</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J</w:t>
      </w:r>
      <w:r>
        <w:rPr>
          <w:rFonts w:hint="eastAsia" w:ascii="Times New Roman" w:hAnsi="Times New Roman" w:eastAsia="楷体" w:cs="Times New Roman"/>
          <w:color w:val="0070C0"/>
          <w:sz w:val="21"/>
          <w:szCs w:val="21"/>
          <w:highlight w:val="none"/>
          <w:lang w:val="en-US" w:eastAsia="zh-CN"/>
        </w:rPr>
        <w:t>an</w:t>
      </w:r>
      <w:r>
        <w:rPr>
          <w:rFonts w:hint="default" w:ascii="Times New Roman" w:hAnsi="Times New Roman" w:eastAsia="楷体" w:cs="Times New Roman"/>
          <w:color w:val="0070C0"/>
          <w:sz w:val="21"/>
          <w:szCs w:val="21"/>
          <w:highlight w:val="none"/>
          <w:lang w:eastAsia="zh-CN"/>
        </w:rPr>
        <w:t>-J</w:t>
      </w:r>
      <w:r>
        <w:rPr>
          <w:rFonts w:hint="eastAsia" w:ascii="Times New Roman" w:hAnsi="Times New Roman" w:eastAsia="楷体" w:cs="Times New Roman"/>
          <w:color w:val="0070C0"/>
          <w:sz w:val="21"/>
          <w:szCs w:val="21"/>
          <w:highlight w:val="none"/>
          <w:lang w:val="en-US" w:eastAsia="zh-CN"/>
        </w:rPr>
        <w:t>un</w:t>
      </w:r>
      <w:r>
        <w:rPr>
          <w:rFonts w:hint="default" w:ascii="Times New Roman" w:hAnsi="Times New Roman" w:eastAsia="楷体" w:cs="Times New Roman"/>
          <w:color w:val="0070C0"/>
          <w:sz w:val="21"/>
          <w:szCs w:val="21"/>
          <w:highlight w:val="none"/>
          <w:lang w:eastAsia="zh-CN"/>
        </w:rPr>
        <w:t xml:space="preserve"> 2025</w:t>
      </w:r>
      <w:r>
        <w:rPr>
          <w:rFonts w:hint="eastAsia" w:ascii="Times New Roman" w:hAnsi="Times New Roman" w:eastAsia="楷体" w:cs="Times New Roman"/>
          <w:color w:val="0070C0"/>
          <w:sz w:val="21"/>
          <w:szCs w:val="21"/>
          <w:highlight w:val="none"/>
          <w:lang w:val="en-US" w:eastAsia="zh-CN"/>
        </w:rPr>
        <w:t>）</w:t>
      </w:r>
    </w:p>
    <w:bookmarkEnd w:id="123"/>
    <w:p w14:paraId="1206238A">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highlight w:val="none"/>
          <w:lang w:val="en-US" w:eastAsia="zh-CN"/>
        </w:rPr>
      </w:pPr>
      <w:bookmarkStart w:id="124" w:name="_Toc3107"/>
      <w:bookmarkStart w:id="125" w:name="_Toc32124"/>
      <w:bookmarkStart w:id="126" w:name="_Toc13821"/>
      <w:r>
        <w:rPr>
          <w:rFonts w:hint="eastAsia" w:ascii="Times New Roman" w:hAnsi="Times New Roman" w:eastAsia="楷体" w:cs="Times New Roman"/>
          <w:b/>
          <w:color w:val="auto"/>
          <w:kern w:val="2"/>
          <w:sz w:val="32"/>
          <w:szCs w:val="32"/>
          <w:highlight w:val="none"/>
          <w:lang w:val="en-US" w:eastAsia="zh-CN"/>
        </w:rPr>
        <w:t>5</w:t>
      </w:r>
      <w:r>
        <w:rPr>
          <w:rFonts w:hint="default" w:ascii="Times New Roman" w:hAnsi="Times New Roman" w:eastAsia="楷体" w:cs="Times New Roman"/>
          <w:b/>
          <w:color w:val="auto"/>
          <w:kern w:val="2"/>
          <w:sz w:val="32"/>
          <w:szCs w:val="32"/>
          <w:highlight w:val="none"/>
          <w:lang w:eastAsia="zh-CN"/>
        </w:rPr>
        <w:t xml:space="preserve">. </w:t>
      </w:r>
      <w:bookmarkEnd w:id="124"/>
      <w:bookmarkEnd w:id="125"/>
      <w:r>
        <w:rPr>
          <w:rFonts w:hint="default" w:ascii="Times New Roman" w:hAnsi="Times New Roman" w:eastAsia="楷体" w:cs="Times New Roman"/>
          <w:b/>
          <w:color w:val="auto"/>
          <w:kern w:val="2"/>
          <w:sz w:val="32"/>
          <w:szCs w:val="32"/>
          <w:highlight w:val="none"/>
          <w:lang w:eastAsia="zh-CN"/>
        </w:rPr>
        <w:t>Demand-</w:t>
      </w:r>
      <w:r>
        <w:rPr>
          <w:rFonts w:hint="eastAsia" w:ascii="Times New Roman" w:hAnsi="Times New Roman" w:eastAsia="楷体" w:cs="Times New Roman"/>
          <w:b/>
          <w:color w:val="auto"/>
          <w:kern w:val="2"/>
          <w:sz w:val="32"/>
          <w:szCs w:val="32"/>
          <w:highlight w:val="none"/>
          <w:lang w:val="en-US" w:eastAsia="zh-CN"/>
        </w:rPr>
        <w:t>s</w:t>
      </w:r>
      <w:r>
        <w:rPr>
          <w:rFonts w:hint="default" w:ascii="Times New Roman" w:hAnsi="Times New Roman" w:eastAsia="楷体" w:cs="Times New Roman"/>
          <w:b/>
          <w:color w:val="auto"/>
          <w:kern w:val="2"/>
          <w:sz w:val="32"/>
          <w:szCs w:val="32"/>
          <w:highlight w:val="none"/>
          <w:lang w:eastAsia="zh-CN"/>
        </w:rPr>
        <w:t xml:space="preserve">ide Frameworks </w:t>
      </w:r>
      <w:r>
        <w:rPr>
          <w:rFonts w:hint="eastAsia" w:ascii="Times New Roman" w:hAnsi="Times New Roman" w:eastAsia="楷体" w:cs="Times New Roman"/>
          <w:b/>
          <w:color w:val="auto"/>
          <w:kern w:val="2"/>
          <w:sz w:val="32"/>
          <w:szCs w:val="32"/>
          <w:highlight w:val="none"/>
          <w:lang w:val="en-US" w:eastAsia="zh-CN"/>
        </w:rPr>
        <w:t>f</w:t>
      </w:r>
      <w:r>
        <w:rPr>
          <w:rFonts w:hint="default" w:ascii="Times New Roman" w:hAnsi="Times New Roman" w:eastAsia="楷体" w:cs="Times New Roman"/>
          <w:b/>
          <w:color w:val="auto"/>
          <w:kern w:val="2"/>
          <w:sz w:val="32"/>
          <w:szCs w:val="32"/>
          <w:highlight w:val="none"/>
          <w:lang w:eastAsia="zh-CN"/>
        </w:rPr>
        <w:t xml:space="preserve">or Patented Inventions: Analysing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 xml:space="preserve">he Licences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 xml:space="preserve">f Right System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 xml:space="preserve">nd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he F</w:t>
      </w:r>
      <w:r>
        <w:rPr>
          <w:rFonts w:hint="eastAsia" w:ascii="Times New Roman" w:hAnsi="Times New Roman" w:eastAsia="楷体" w:cs="Times New Roman"/>
          <w:b/>
          <w:color w:val="auto"/>
          <w:kern w:val="2"/>
          <w:sz w:val="32"/>
          <w:szCs w:val="32"/>
          <w:highlight w:val="none"/>
          <w:lang w:val="en-US" w:eastAsia="zh-CN"/>
        </w:rPr>
        <w:t>RAND</w:t>
      </w:r>
      <w:r>
        <w:rPr>
          <w:rFonts w:hint="default" w:ascii="Times New Roman" w:hAnsi="Times New Roman" w:eastAsia="楷体" w:cs="Times New Roman"/>
          <w:b/>
          <w:color w:val="auto"/>
          <w:kern w:val="2"/>
          <w:sz w:val="32"/>
          <w:szCs w:val="32"/>
          <w:highlight w:val="none"/>
          <w:lang w:eastAsia="zh-CN"/>
        </w:rPr>
        <w:t xml:space="preserve"> Licensing System</w:t>
      </w:r>
      <w:bookmarkEnd w:id="126"/>
    </w:p>
    <w:p w14:paraId="79F947F0">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作者：</w:t>
      </w:r>
      <w:r>
        <w:rPr>
          <w:rFonts w:hint="eastAsia" w:ascii="Times New Roman" w:hAnsi="Times New Roman" w:eastAsia="楷体" w:cs="Times New Roman"/>
          <w:b w:val="0"/>
          <w:bCs w:val="0"/>
          <w:sz w:val="21"/>
          <w:szCs w:val="21"/>
          <w:highlight w:val="none"/>
          <w:lang w:val="en-US" w:eastAsia="zh-CN"/>
        </w:rPr>
        <w:t>Wang, Y (Wang, Yan)1</w:t>
      </w:r>
    </w:p>
    <w:p w14:paraId="43744F42">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2"/>
          <w:szCs w:val="22"/>
          <w:highlight w:val="none"/>
          <w:lang w:val="en-US" w:eastAsia="zh-CN"/>
        </w:rPr>
        <w:t>1. Univ Melbourne, Melbourne, Australia</w:t>
      </w:r>
    </w:p>
    <w:p w14:paraId="4F3705C0">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This paper examines the licences of right system in English law and the ETSI FRAND licensing system to explore underlying reasons and approaches informing the establishment and design of these voluntary licensing schemes. It is argued that both these systems were established to advance specific demand-side objectives. At the national level, the licences of rights system functions as a demand-side framework within the patent system to promote local working of inventions, complementing the supply-side oriented structure for patent grant. At the international level, the FRAND licensing system serves as a global demand-side framework to promote the working of inventions on a worldwide scale. The institutional arrangement of these frameworks closely aligns with the commons management strategy applied to traditional infrastructural resources, characterised by public access to inventions on non-discriminatory terms. This alignment facilitates public access to inventions for productive activities. However, their institutional arrangements are further qualified by the underlying demand-side objectives that initially motivated their creation. The development of such a demand-side framework must devise mechanisms to mitigate the barriers to public access created by patent rights, while simultaneously preserving incentives for patentees to contribute their inventions to demand-side frameworks.</w:t>
      </w:r>
    </w:p>
    <w:p w14:paraId="50C28D27">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Intellectual property law; Patent law; Licence of right; FRAND licensing; Statutory licensing scheme; Infrastructure theory</w:t>
      </w:r>
    </w:p>
    <w:p w14:paraId="0D93B378">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 xml:space="preserve">（来源：LEGAL STUDIES.  </w:t>
      </w:r>
      <w:r>
        <w:rPr>
          <w:rFonts w:hint="eastAsia" w:ascii="Times New Roman" w:hAnsi="Times New Roman" w:eastAsia="楷体" w:cs="Times New Roman"/>
          <w:color w:val="0070C0"/>
          <w:sz w:val="21"/>
          <w:szCs w:val="21"/>
          <w:highlight w:val="none"/>
          <w:lang w:val="en-US" w:eastAsia="zh-CN"/>
        </w:rPr>
        <w:t>May</w:t>
      </w:r>
      <w:r>
        <w:rPr>
          <w:rFonts w:hint="default" w:ascii="Times New Roman" w:hAnsi="Times New Roman" w:eastAsia="楷体" w:cs="Times New Roman"/>
          <w:color w:val="0070C0"/>
          <w:sz w:val="21"/>
          <w:szCs w:val="21"/>
          <w:highlight w:val="none"/>
          <w:lang w:eastAsia="zh-CN"/>
        </w:rPr>
        <w:t xml:space="preserve"> 2025）</w:t>
      </w:r>
    </w:p>
    <w:p w14:paraId="799FCDB7">
      <w:pPr>
        <w:rPr>
          <w:rFonts w:hint="eastAsia"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br w:type="page"/>
      </w:r>
    </w:p>
    <w:bookmarkEnd w:id="110"/>
    <w:bookmarkEnd w:id="111"/>
    <w:p w14:paraId="69417222">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highlight w:val="none"/>
          <w:lang w:val="en-US" w:eastAsia="zh-CN" w:bidi="ar-SA"/>
        </w:rPr>
      </w:pPr>
      <w:bookmarkStart w:id="127" w:name="_Toc27681"/>
      <w:bookmarkStart w:id="128" w:name="_Toc20546"/>
      <w:bookmarkStart w:id="129" w:name="_Toc30103"/>
      <w:bookmarkStart w:id="130" w:name="_Toc9765"/>
      <w:bookmarkStart w:id="131" w:name="_Toc16243"/>
      <w:bookmarkStart w:id="132" w:name="_Toc9646"/>
      <w:r>
        <w:rPr>
          <w:rFonts w:hint="eastAsia" w:ascii="Times New Roman" w:hAnsi="Times New Roman" w:eastAsia="仿宋" w:cs="Times New Roman"/>
          <w:b/>
          <w:bCs/>
          <w:color w:val="376092" w:themeColor="accent1" w:themeShade="BF"/>
          <w:kern w:val="44"/>
          <w:sz w:val="44"/>
          <w:szCs w:val="44"/>
          <w:highlight w:val="none"/>
          <w:lang w:val="en-US" w:eastAsia="zh-CN" w:bidi="ar-SA"/>
        </w:rPr>
        <w:t>外文管理</w:t>
      </w:r>
      <w:r>
        <w:rPr>
          <w:rFonts w:ascii="Times New Roman" w:hAnsi="Times New Roman" w:eastAsia="仿宋" w:cs="Times New Roman"/>
          <w:b/>
          <w:bCs/>
          <w:color w:val="376092" w:themeColor="accent1" w:themeShade="BF"/>
          <w:kern w:val="44"/>
          <w:sz w:val="44"/>
          <w:szCs w:val="44"/>
          <w:highlight w:val="none"/>
          <w:lang w:val="en-US" w:eastAsia="zh-CN" w:bidi="ar-SA"/>
        </w:rPr>
        <w:t>类核心期刊知识产权文章摘编</w:t>
      </w:r>
      <w:bookmarkEnd w:id="127"/>
      <w:bookmarkEnd w:id="128"/>
      <w:bookmarkEnd w:id="129"/>
      <w:bookmarkEnd w:id="130"/>
      <w:bookmarkEnd w:id="131"/>
      <w:bookmarkEnd w:id="132"/>
    </w:p>
    <w:p w14:paraId="383408ED">
      <w:pPr>
        <w:spacing w:after="240" w:afterLines="100" w:line="360" w:lineRule="auto"/>
        <w:jc w:val="center"/>
        <w:rPr>
          <w:rFonts w:hint="eastAsia" w:ascii="Times New Roman" w:hAnsi="Times New Roman" w:eastAsia="微软雅黑" w:cs="微软雅黑"/>
          <w:b/>
          <w:bCs/>
          <w:color w:val="95B3D7"/>
          <w:szCs w:val="21"/>
          <w:highlight w:val="none"/>
          <w:lang w:eastAsia="zh-CN"/>
        </w:rPr>
      </w:pPr>
      <w:r>
        <w:rPr>
          <w:rFonts w:hint="eastAsia" w:ascii="Times New Roman" w:hAnsi="Times New Roman" w:eastAsia="微软雅黑" w:cs="微软雅黑"/>
          <w:b/>
          <w:bCs/>
          <w:color w:val="95B3D7"/>
          <w:szCs w:val="21"/>
          <w:highlight w:val="none"/>
          <w:lang w:eastAsia="zh-CN"/>
        </w:rPr>
        <w:t>选刊范围：</w:t>
      </w:r>
      <w:r>
        <w:rPr>
          <w:rFonts w:hint="eastAsia" w:ascii="Times New Roman" w:hAnsi="Times New Roman"/>
          <w:b/>
          <w:bCs/>
          <w:color w:val="95B3D7"/>
          <w:szCs w:val="21"/>
          <w:highlight w:val="none"/>
          <w:lang w:eastAsia="zh-CN"/>
        </w:rPr>
        <w:t>WOS</w:t>
      </w:r>
      <w:r>
        <w:rPr>
          <w:rFonts w:hint="eastAsia" w:ascii="Times New Roman" w:hAnsi="Times New Roman" w:eastAsia="微软雅黑" w:cs="微软雅黑"/>
          <w:b/>
          <w:bCs/>
          <w:color w:val="95B3D7"/>
          <w:szCs w:val="21"/>
          <w:highlight w:val="none"/>
          <w:lang w:eastAsia="zh-CN"/>
        </w:rPr>
        <w:t>数据库</w:t>
      </w:r>
      <w:r>
        <w:rPr>
          <w:rFonts w:hint="eastAsia" w:ascii="Times New Roman" w:hAnsi="Times New Roman"/>
          <w:b/>
          <w:bCs/>
          <w:color w:val="95B3D7"/>
          <w:szCs w:val="21"/>
          <w:highlight w:val="none"/>
          <w:lang w:eastAsia="zh-CN"/>
        </w:rPr>
        <w:t>SSCI</w:t>
      </w:r>
      <w:r>
        <w:rPr>
          <w:rFonts w:hint="eastAsia" w:ascii="Times New Roman" w:hAnsi="Times New Roman" w:eastAsia="微软雅黑" w:cs="微软雅黑"/>
          <w:b/>
          <w:bCs/>
          <w:color w:val="95B3D7"/>
          <w:szCs w:val="21"/>
          <w:highlight w:val="none"/>
          <w:lang w:eastAsia="zh-CN"/>
        </w:rPr>
        <w:t>外文管理期刊</w:t>
      </w:r>
    </w:p>
    <w:p w14:paraId="66CEDFE3">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33" w:name="_Toc21284"/>
      <w:bookmarkStart w:id="134" w:name="_Toc29179"/>
      <w:bookmarkStart w:id="135" w:name="_Toc24289"/>
      <w:bookmarkStart w:id="136" w:name="_Toc105607377"/>
      <w:r>
        <w:rPr>
          <w:rFonts w:hint="default" w:ascii="Times New Roman" w:hAnsi="Times New Roman" w:eastAsia="楷体" w:cs="Times New Roman"/>
          <w:b/>
          <w:color w:val="auto"/>
          <w:kern w:val="2"/>
          <w:sz w:val="32"/>
          <w:szCs w:val="32"/>
          <w:highlight w:val="none"/>
          <w:lang w:eastAsia="zh-CN"/>
        </w:rPr>
        <w:t xml:space="preserve">1. </w:t>
      </w:r>
      <w:bookmarkEnd w:id="133"/>
      <w:bookmarkEnd w:id="134"/>
      <w:r>
        <w:rPr>
          <w:rFonts w:hint="default" w:ascii="Times New Roman" w:hAnsi="Times New Roman" w:eastAsia="楷体" w:cs="Times New Roman"/>
          <w:b/>
          <w:color w:val="auto"/>
          <w:kern w:val="2"/>
          <w:sz w:val="32"/>
          <w:szCs w:val="32"/>
          <w:highlight w:val="none"/>
          <w:lang w:eastAsia="zh-CN"/>
        </w:rPr>
        <w:t xml:space="preserve">Autonomous Inventions, Problem Formulation,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nd Inventive Outcomes</w:t>
      </w:r>
      <w:bookmarkEnd w:id="135"/>
    </w:p>
    <w:p w14:paraId="2AB3DF2C">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highlight w:val="none"/>
          <w:lang w:val="en-US" w:eastAsia="zh-CN"/>
        </w:rPr>
        <w:t>Yang, JH (Yang, Jiho)1 Criscuolo, P (Criscuolo, Paola)2 Sharapov, D (Sharapov, Dmitry)2</w:t>
      </w:r>
    </w:p>
    <w:p w14:paraId="374E8D58">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highlight w:val="none"/>
          <w:lang w:val="en-US" w:eastAsia="zh-CN"/>
        </w:rPr>
        <w:t>1. Univ Ramon Llull, ESADE Business Sch, Barcelona, Spain</w:t>
      </w:r>
    </w:p>
    <w:p w14:paraId="17A0EEA5">
      <w:pPr>
        <w:keepNext w:val="0"/>
        <w:keepLines w:val="0"/>
        <w:pageBreakBefore w:val="0"/>
        <w:widowControl w:val="0"/>
        <w:numPr>
          <w:ilvl w:val="0"/>
          <w:numId w:val="1"/>
        </w:numPr>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highlight w:val="none"/>
          <w:lang w:val="en-US" w:eastAsia="zh-CN"/>
        </w:rPr>
        <w:t>Imperial Coll, Business Sch, London, England</w:t>
      </w:r>
    </w:p>
    <w:p w14:paraId="7961B7AC">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Prior research on creativity by R&amp;D teams has highlighted that autonomy in deciding how to solve a given problem (operational autonomy) positively influences creativity. However, R&amp;D teams may also have autonomy in choosing which problems to address (strategic autonomy), the effects of which remain underexplored. This study examines how strategic autonomy influences the cognitive process of problem representation and in turn, the creativity of inventions produced by R&amp;D teams. Leveraging a unique dataset consisting of descriptions of problems in invention disclosures by R&amp;D professionals of a firm, along with information on whether an invention was autonomously initiated, we find that problem representation complexity is lower for autonomous inventions, or inventions for which R&amp;D teams exert strategic autonomy to identify problems themselves, than top-down inventions for which problems are identified and assigned to them by managers. We further find that domain expertise and multi-project engagement of team members moderate this relationship, and that lower problem representation complexity in turn relates to lower creativity of inventions. By uncovering a novel mechanism through which autonomy negatively affects creativity, this study contributes to the literatures on creativity, innovation, and organizational design.</w:t>
      </w:r>
    </w:p>
    <w:p w14:paraId="5880CC71">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ind w:left="0" w:firstLine="0" w:firstLine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bCs/>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Employee creativity; Mental models; Cognitive-processes; Moderating role; Innovation; Management; Attention; Representation; Performance; Expertise</w:t>
      </w:r>
    </w:p>
    <w:p w14:paraId="7061A786">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val="en-US" w:eastAsia="zh-CN"/>
        </w:rPr>
        <w:t>（来源：RESEARCH POLICY. 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val="en-US" w:eastAsia="zh-CN"/>
        </w:rPr>
        <w:t>54. Issue</w:t>
      </w:r>
      <w:r>
        <w:rPr>
          <w:rFonts w:hint="eastAsia" w:ascii="Times New Roman" w:hAnsi="Times New Roman" w:eastAsia="楷体" w:cs="Times New Roman"/>
          <w:color w:val="0070C0"/>
          <w:sz w:val="21"/>
          <w:szCs w:val="21"/>
          <w:highlight w:val="none"/>
          <w:lang w:val="en-US" w:eastAsia="zh-CN"/>
        </w:rPr>
        <w:t xml:space="preserve"> 7</w:t>
      </w:r>
      <w:r>
        <w:rPr>
          <w:rFonts w:hint="default" w:ascii="Times New Roman" w:hAnsi="Times New Roman" w:eastAsia="楷体" w:cs="Times New Roman"/>
          <w:color w:val="0070C0"/>
          <w:sz w:val="21"/>
          <w:szCs w:val="21"/>
          <w:highlight w:val="none"/>
          <w:lang w:val="en-US" w:eastAsia="zh-CN"/>
        </w:rPr>
        <w:t xml:space="preserve">. </w:t>
      </w:r>
      <w:r>
        <w:rPr>
          <w:rFonts w:hint="eastAsia" w:ascii="Times New Roman" w:hAnsi="Times New Roman" w:eastAsia="楷体" w:cs="Times New Roman"/>
          <w:color w:val="0070C0"/>
          <w:sz w:val="21"/>
          <w:szCs w:val="21"/>
          <w:highlight w:val="none"/>
          <w:lang w:val="en-US" w:eastAsia="zh-CN"/>
        </w:rPr>
        <w:t>Sep</w:t>
      </w:r>
      <w:r>
        <w:rPr>
          <w:rFonts w:hint="default" w:ascii="Times New Roman" w:hAnsi="Times New Roman" w:eastAsia="楷体" w:cs="Times New Roman"/>
          <w:color w:val="0070C0"/>
          <w:sz w:val="21"/>
          <w:szCs w:val="21"/>
          <w:highlight w:val="none"/>
          <w:lang w:val="en-US" w:eastAsia="zh-CN"/>
        </w:rPr>
        <w:t xml:space="preserve"> 2025）</w:t>
      </w:r>
    </w:p>
    <w:p w14:paraId="33B59AC3">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highlight w:val="none"/>
          <w:shd w:val="clear" w:color="auto" w:fill="FFFFFF"/>
          <w:lang w:eastAsia="zh-CN"/>
        </w:rPr>
      </w:pPr>
      <w:bookmarkStart w:id="137" w:name="_Toc26096"/>
      <w:bookmarkStart w:id="138" w:name="_Toc19317"/>
      <w:bookmarkStart w:id="139" w:name="_Toc9574"/>
      <w:r>
        <w:rPr>
          <w:rFonts w:hint="default" w:ascii="Times New Roman" w:hAnsi="Times New Roman" w:eastAsia="楷体" w:cs="Times New Roman"/>
          <w:b/>
          <w:color w:val="auto"/>
          <w:kern w:val="2"/>
          <w:sz w:val="32"/>
          <w:szCs w:val="32"/>
          <w:highlight w:val="none"/>
          <w:lang w:val="en-US" w:eastAsia="zh-CN"/>
        </w:rPr>
        <w:t>2</w:t>
      </w:r>
      <w:r>
        <w:rPr>
          <w:rFonts w:hint="default" w:ascii="Times New Roman" w:hAnsi="Times New Roman" w:eastAsia="楷体" w:cs="Times New Roman"/>
          <w:b/>
          <w:color w:val="auto"/>
          <w:kern w:val="2"/>
          <w:sz w:val="32"/>
          <w:szCs w:val="32"/>
          <w:highlight w:val="none"/>
          <w:lang w:eastAsia="zh-CN"/>
        </w:rPr>
        <w:t xml:space="preserve">. </w:t>
      </w:r>
      <w:bookmarkEnd w:id="137"/>
      <w:bookmarkEnd w:id="138"/>
      <w:r>
        <w:rPr>
          <w:rFonts w:hint="default" w:ascii="Times New Roman" w:hAnsi="Times New Roman" w:eastAsia="楷体" w:cs="Times New Roman"/>
          <w:b/>
          <w:color w:val="auto"/>
          <w:kern w:val="2"/>
          <w:sz w:val="32"/>
          <w:szCs w:val="32"/>
          <w:highlight w:val="none"/>
          <w:lang w:eastAsia="zh-CN"/>
        </w:rPr>
        <w:t xml:space="preserve">The Global Knowledge Evolution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 xml:space="preserve">f Carbon Capture, Utilization,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 xml:space="preserve">nd Storage Technology: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 xml:space="preserve"> Network Analysis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f Patent Mining</w:t>
      </w:r>
      <w:bookmarkEnd w:id="139"/>
    </w:p>
    <w:p w14:paraId="3965357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bookmarkStart w:id="140" w:name="_Toc3029"/>
      <w:bookmarkStart w:id="141" w:name="_Toc5385"/>
      <w:bookmarkStart w:id="142" w:name="_Toc105607373"/>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 xml:space="preserve">Yao, JY (Yao, Jingyi)1 Liu, WW (Liu, Weiwei)1 Bi, KX (Bi, Kexin)1 </w:t>
      </w:r>
    </w:p>
    <w:p w14:paraId="75366FA8">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Harbin Engn Univ, Sch Econ &amp; Management, Harbin 150001, Peoples R China</w:t>
      </w:r>
    </w:p>
    <w:p w14:paraId="295A97F6">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Carbon capture, utilization, and storage (CCUS) are crucial for mitigating CO2 emissions. Exploring the evolution of CCUS technology can help accelerate the development of CCUS technology. This study aims to reveal the connections and interactions between technology topics, clarify the evolutionary path of CCUS technology, and understand the deep mechanism of technology evolution. To achieve these goals, this article adopts an integrated approach to analyze the evolution process of CCUS technology by combining patent mining and knowledge evolution theory. First, the BERT-LDA- model is used for fine-grained extraction of technology topics from CCUS patents; second, an evolution network depicting the topics' evolution path is constructed based on their temporal correlations; finally, knowledge evolution theory is used to explain the characteristics of topic evolution and analyze potential technological opportunities. The results indicate that CCUS technology has gone through five major development periods with gradually enriched and deepened topics; newborn, inheritance, and temporary emergence are common topic evolution relationships in the evolution network; the evolution of these topics shows stability, heritability, and variability. These findings not only help enterprises to grasp the development trend and potential opportunities of CCUS technology but also provide policymakers with a basis for decision making.</w:t>
      </w:r>
    </w:p>
    <w:p w14:paraId="01BAEC36">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 xml:space="preserve">Evolution(biology); Patents; Market research; Technological innovation; Research and development; Organisms; Meteorology; Knowledge engineering; Investment; Global warming; Carbon capture utilization and storage (CCUS); Knowledge evolution; Patent analysis; Topic identification </w:t>
      </w:r>
    </w:p>
    <w:p w14:paraId="482FC621">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val="en-US" w:eastAsia="zh-CN"/>
        </w:rPr>
        <w:t>（来源：IEEE TRANSACTIONS ON ENGINEERING MANAGEMENT.</w:t>
      </w:r>
      <w:r>
        <w:rPr>
          <w:rFonts w:hint="eastAsia" w:ascii="Times New Roman" w:hAnsi="Times New Roman" w:eastAsia="楷体" w:cs="Times New Roman"/>
          <w:color w:val="0070C0"/>
          <w:sz w:val="21"/>
          <w:szCs w:val="21"/>
          <w:highlight w:val="none"/>
          <w:lang w:val="en-US" w:eastAsia="zh-CN"/>
        </w:rPr>
        <w:t xml:space="preserve"> Volume 72. </w:t>
      </w:r>
      <w:r>
        <w:rPr>
          <w:rFonts w:hint="default" w:ascii="Times New Roman" w:hAnsi="Times New Roman" w:eastAsia="楷体" w:cs="Times New Roman"/>
          <w:color w:val="0070C0"/>
          <w:sz w:val="21"/>
          <w:szCs w:val="21"/>
          <w:highlight w:val="none"/>
          <w:lang w:val="en-US" w:eastAsia="zh-CN"/>
        </w:rPr>
        <w:t>2025）</w:t>
      </w:r>
    </w:p>
    <w:p w14:paraId="1A70CCBA">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highlight w:val="none"/>
          <w:lang w:val="en-US" w:eastAsia="zh-CN"/>
        </w:rPr>
      </w:pPr>
      <w:bookmarkStart w:id="143" w:name="_Toc21385"/>
      <w:bookmarkStart w:id="144" w:name="_Toc18675"/>
      <w:bookmarkStart w:id="145" w:name="_Toc6828"/>
      <w:r>
        <w:rPr>
          <w:rFonts w:hint="default" w:ascii="Times New Roman" w:hAnsi="Times New Roman" w:eastAsia="楷体" w:cs="Times New Roman"/>
          <w:b/>
          <w:color w:val="auto"/>
          <w:kern w:val="2"/>
          <w:sz w:val="32"/>
          <w:szCs w:val="32"/>
          <w:highlight w:val="none"/>
          <w:lang w:val="en-US" w:eastAsia="zh-CN"/>
        </w:rPr>
        <w:t xml:space="preserve">3. </w:t>
      </w:r>
      <w:bookmarkEnd w:id="140"/>
      <w:bookmarkEnd w:id="141"/>
      <w:bookmarkEnd w:id="142"/>
      <w:bookmarkEnd w:id="143"/>
      <w:bookmarkEnd w:id="144"/>
      <w:r>
        <w:rPr>
          <w:rFonts w:hint="default" w:ascii="Times New Roman" w:hAnsi="Times New Roman" w:eastAsia="楷体" w:cs="Times New Roman"/>
          <w:b/>
          <w:color w:val="auto"/>
          <w:kern w:val="2"/>
          <w:sz w:val="32"/>
          <w:szCs w:val="32"/>
          <w:highlight w:val="none"/>
          <w:lang w:val="en-US" w:eastAsia="zh-CN"/>
        </w:rPr>
        <w:t xml:space="preserve">How </w:t>
      </w:r>
      <w:r>
        <w:rPr>
          <w:rFonts w:hint="eastAsia" w:ascii="Times New Roman" w:hAnsi="Times New Roman" w:eastAsia="楷体" w:cs="Times New Roman"/>
          <w:b/>
          <w:color w:val="auto"/>
          <w:kern w:val="2"/>
          <w:sz w:val="32"/>
          <w:szCs w:val="32"/>
          <w:highlight w:val="none"/>
          <w:lang w:val="en-US" w:eastAsia="zh-CN"/>
        </w:rPr>
        <w:t>D</w:t>
      </w:r>
      <w:r>
        <w:rPr>
          <w:rFonts w:hint="default" w:ascii="Times New Roman" w:hAnsi="Times New Roman" w:eastAsia="楷体" w:cs="Times New Roman"/>
          <w:b/>
          <w:color w:val="auto"/>
          <w:kern w:val="2"/>
          <w:sz w:val="32"/>
          <w:szCs w:val="32"/>
          <w:highlight w:val="none"/>
          <w:lang w:val="en-US" w:eastAsia="zh-CN"/>
        </w:rPr>
        <w:t xml:space="preserve">oes </w:t>
      </w:r>
      <w:r>
        <w:rPr>
          <w:rFonts w:hint="eastAsia" w:ascii="Times New Roman" w:hAnsi="Times New Roman" w:eastAsia="楷体" w:cs="Times New Roman"/>
          <w:b/>
          <w:color w:val="auto"/>
          <w:kern w:val="2"/>
          <w:sz w:val="32"/>
          <w:szCs w:val="32"/>
          <w:highlight w:val="none"/>
          <w:lang w:val="en-US" w:eastAsia="zh-CN"/>
        </w:rPr>
        <w:t>P</w:t>
      </w:r>
      <w:r>
        <w:rPr>
          <w:rFonts w:hint="default" w:ascii="Times New Roman" w:hAnsi="Times New Roman" w:eastAsia="楷体" w:cs="Times New Roman"/>
          <w:b/>
          <w:color w:val="auto"/>
          <w:kern w:val="2"/>
          <w:sz w:val="32"/>
          <w:szCs w:val="32"/>
          <w:highlight w:val="none"/>
          <w:lang w:val="en-US" w:eastAsia="zh-CN"/>
        </w:rPr>
        <w:t xml:space="preserve">atent </w:t>
      </w:r>
      <w:r>
        <w:rPr>
          <w:rFonts w:hint="eastAsia" w:ascii="Times New Roman" w:hAnsi="Times New Roman" w:eastAsia="楷体" w:cs="Times New Roman"/>
          <w:b/>
          <w:color w:val="auto"/>
          <w:kern w:val="2"/>
          <w:sz w:val="32"/>
          <w:szCs w:val="32"/>
          <w:highlight w:val="none"/>
          <w:lang w:val="en-US" w:eastAsia="zh-CN"/>
        </w:rPr>
        <w:t>M</w:t>
      </w:r>
      <w:r>
        <w:rPr>
          <w:rFonts w:hint="default" w:ascii="Times New Roman" w:hAnsi="Times New Roman" w:eastAsia="楷体" w:cs="Times New Roman"/>
          <w:b/>
          <w:color w:val="auto"/>
          <w:kern w:val="2"/>
          <w:sz w:val="32"/>
          <w:szCs w:val="32"/>
          <w:highlight w:val="none"/>
          <w:lang w:val="en-US" w:eastAsia="zh-CN"/>
        </w:rPr>
        <w:t xml:space="preserve">ixed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val="en-US" w:eastAsia="zh-CN"/>
        </w:rPr>
        <w:t xml:space="preserve">wnership </w:t>
      </w:r>
      <w:r>
        <w:rPr>
          <w:rFonts w:hint="eastAsia" w:ascii="Times New Roman" w:hAnsi="Times New Roman" w:eastAsia="楷体" w:cs="Times New Roman"/>
          <w:b/>
          <w:color w:val="auto"/>
          <w:kern w:val="2"/>
          <w:sz w:val="32"/>
          <w:szCs w:val="32"/>
          <w:highlight w:val="none"/>
          <w:lang w:val="en-US" w:eastAsia="zh-CN"/>
        </w:rPr>
        <w:t>I</w:t>
      </w:r>
      <w:r>
        <w:rPr>
          <w:rFonts w:hint="default" w:ascii="Times New Roman" w:hAnsi="Times New Roman" w:eastAsia="楷体" w:cs="Times New Roman"/>
          <w:b/>
          <w:color w:val="auto"/>
          <w:kern w:val="2"/>
          <w:sz w:val="32"/>
          <w:szCs w:val="32"/>
          <w:highlight w:val="none"/>
          <w:lang w:val="en-US" w:eastAsia="zh-CN"/>
        </w:rPr>
        <w:t xml:space="preserve">mpact </w:t>
      </w:r>
      <w:r>
        <w:rPr>
          <w:rFonts w:hint="eastAsia" w:ascii="Times New Roman" w:hAnsi="Times New Roman" w:eastAsia="楷体" w:cs="Times New Roman"/>
          <w:b/>
          <w:color w:val="auto"/>
          <w:kern w:val="2"/>
          <w:sz w:val="32"/>
          <w:szCs w:val="32"/>
          <w:highlight w:val="none"/>
          <w:lang w:val="en-US" w:eastAsia="zh-CN"/>
        </w:rPr>
        <w:t>U</w:t>
      </w:r>
      <w:r>
        <w:rPr>
          <w:rFonts w:hint="default" w:ascii="Times New Roman" w:hAnsi="Times New Roman" w:eastAsia="楷体" w:cs="Times New Roman"/>
          <w:b/>
          <w:color w:val="auto"/>
          <w:kern w:val="2"/>
          <w:sz w:val="32"/>
          <w:szCs w:val="32"/>
          <w:highlight w:val="none"/>
          <w:lang w:val="en-US" w:eastAsia="zh-CN"/>
        </w:rPr>
        <w:t xml:space="preserve">niversity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 xml:space="preserve">echnology </w:t>
      </w:r>
      <w:r>
        <w:rPr>
          <w:rFonts w:hint="eastAsia" w:ascii="Times New Roman" w:hAnsi="Times New Roman" w:eastAsia="楷体" w:cs="Times New Roman"/>
          <w:b/>
          <w:color w:val="auto"/>
          <w:kern w:val="2"/>
          <w:sz w:val="32"/>
          <w:szCs w:val="32"/>
          <w:highlight w:val="none"/>
          <w:lang w:val="en-US" w:eastAsia="zh-CN"/>
        </w:rPr>
        <w:t>C</w:t>
      </w:r>
      <w:r>
        <w:rPr>
          <w:rFonts w:hint="default" w:ascii="Times New Roman" w:hAnsi="Times New Roman" w:eastAsia="楷体" w:cs="Times New Roman"/>
          <w:b/>
          <w:color w:val="auto"/>
          <w:kern w:val="2"/>
          <w:sz w:val="32"/>
          <w:szCs w:val="32"/>
          <w:highlight w:val="none"/>
          <w:lang w:val="en-US" w:eastAsia="zh-CN"/>
        </w:rPr>
        <w:t>ommercialization? Evidence from China</w:t>
      </w:r>
      <w:bookmarkEnd w:id="145"/>
    </w:p>
    <w:p w14:paraId="7C11AF8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highlight w:val="none"/>
          <w:shd w:val="clear" w:color="auto" w:fill="FFFFFF"/>
          <w:lang w:val="en-US" w:eastAsia="zh-CN"/>
        </w:rPr>
      </w:pPr>
      <w:bookmarkStart w:id="146" w:name="_Toc10885"/>
      <w:bookmarkStart w:id="147" w:name="_Toc25134"/>
      <w:bookmarkStart w:id="148" w:name="_Toc105607374"/>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color w:val="000000"/>
          <w:sz w:val="21"/>
          <w:szCs w:val="21"/>
          <w:highlight w:val="none"/>
          <w:shd w:val="clear" w:color="auto" w:fill="FFFFFF"/>
          <w:lang w:val="en-US" w:eastAsia="zh-CN"/>
        </w:rPr>
        <w:t>Liu, X (Liu, Xin)1 Li, X (Li, Xue)1 Yang, W (Yang, Wei)2 Zhang, B (Zhang, Ben)3</w:t>
      </w:r>
    </w:p>
    <w:p w14:paraId="774466D4">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0" w:leftChars="0" w:firstLine="0" w:firstLineChars="0"/>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color w:val="000000"/>
          <w:sz w:val="21"/>
          <w:szCs w:val="21"/>
          <w:highlight w:val="none"/>
          <w:shd w:val="clear" w:color="auto" w:fill="FFFFFF"/>
          <w:lang w:val="en-US" w:eastAsia="zh-CN"/>
        </w:rPr>
        <w:t>1. Southwest Jiaotong Univ, Sch Publ Adm, Serv Sci &amp; Innovat Key Lab Sichuan Prov, Chengdu 610031, Peoples R China</w:t>
      </w:r>
    </w:p>
    <w:p w14:paraId="5D2FE5E8">
      <w:pPr>
        <w:keepNext w:val="0"/>
        <w:keepLines w:val="0"/>
        <w:pageBreakBefore w:val="0"/>
        <w:numPr>
          <w:ilvl w:val="0"/>
          <w:numId w:val="2"/>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color w:val="000000"/>
          <w:sz w:val="21"/>
          <w:szCs w:val="21"/>
          <w:highlight w:val="none"/>
          <w:shd w:val="clear" w:color="auto" w:fill="FFFFFF"/>
          <w:lang w:val="en-US" w:eastAsia="zh-CN"/>
        </w:rPr>
        <w:t>Huazhong Univ Sci &amp; Technol, Law Sch, Wuhan 430074, Peoples R China</w:t>
      </w:r>
    </w:p>
    <w:p w14:paraId="04923056">
      <w:pPr>
        <w:keepNext w:val="0"/>
        <w:keepLines w:val="0"/>
        <w:pageBreakBefore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firstLine="0" w:firstLineChars="0"/>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color w:val="000000"/>
          <w:sz w:val="21"/>
          <w:szCs w:val="21"/>
          <w:highlight w:val="none"/>
          <w:shd w:val="clear" w:color="auto" w:fill="FFFFFF"/>
          <w:lang w:val="en-US" w:eastAsia="zh-CN"/>
        </w:rPr>
        <w:t>Huazhong Univ Sci &amp; Technol, Sch Management, Wuhan 430074, Peoples R China</w:t>
      </w:r>
    </w:p>
    <w:p w14:paraId="1F2D051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color w:val="000000"/>
          <w:sz w:val="21"/>
          <w:szCs w:val="21"/>
          <w:highlight w:val="none"/>
          <w:shd w:val="clear" w:color="auto" w:fill="FFFFFF"/>
          <w:lang w:val="en-US" w:eastAsia="zh-CN"/>
        </w:rPr>
        <w:t>University patent ownership has garnered significant attention, particularly following the enactment of the Bayh-Dole Act in the U.S. and the abolition of professor's privilege in Europe. Despite advancements in knowledge production, the impact of different ownership structures on university innovation-particularly technology commercialization (TC)-remains a topic of ongoing debate requiring further inquiry. In China, the introduction of a mixed ownership (MO) policy has altered the traditional institutional ownership structure by allocating partial patent ownership to university inventors. Within this context, this paper examines the fundamental question: How does the emerging MO policy influence TC and is this ownership structure more effective in promoting university TC? Focusing on universities that participated in the central government's MO pilot program between 2017 and 2022, this study employs a difference-in-differences (DID) approach to assess its impact. The findings reveal that: (i) the MO policy catalyzes a shift toward an inventor-led commercialization path, empowering researchers to directly engage with market opportunities, while leaving the institution-led path largely unaffected. (ii) internal commercialization support is essential in enhancing the policy's effectiveness. (iii) MO preserves the integrity of academic research, countering concerns that commercialization efforts may compromise scholarly activities. Furthermore, the analysis reveals differentiated effects of the policy across various university characteristics. These findings could shed light on the theoretical relationship between patent ownership and university innovation, contributing to the understanding of MO and its impact on TC, IP management and innovation ecosystem in a general perspective.</w:t>
      </w:r>
    </w:p>
    <w:p w14:paraId="56ADE4E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color w:val="000000"/>
          <w:sz w:val="21"/>
          <w:szCs w:val="21"/>
          <w:highlight w:val="none"/>
          <w:shd w:val="clear" w:color="auto" w:fill="FFFFFF"/>
          <w:lang w:val="en-US" w:eastAsia="zh-CN"/>
        </w:rPr>
        <w:t>Of-the-literature; Bayh-dole act; Intellectual property; Professors privilege; Knowledge transfer; Academic research; Transfer offices; Performance; Science; Entrepreneurship</w:t>
      </w:r>
    </w:p>
    <w:p w14:paraId="4C9D08D1">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（来源：TECHNOVATION. Volume 145. Jul 2025）</w:t>
      </w:r>
    </w:p>
    <w:bookmarkEnd w:id="146"/>
    <w:bookmarkEnd w:id="147"/>
    <w:bookmarkEnd w:id="148"/>
    <w:p w14:paraId="5E8A8B47">
      <w:pPr>
        <w:keepNext w:val="0"/>
        <w:keepLines w:val="0"/>
        <w:pageBreakBefore w:val="0"/>
        <w:widowControl/>
        <w:numPr>
          <w:ilvl w:val="0"/>
          <w:numId w:val="3"/>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highlight w:val="none"/>
          <w:lang w:val="en-US" w:eastAsia="zh-CN"/>
        </w:rPr>
      </w:pPr>
      <w:bookmarkStart w:id="149" w:name="_Toc17095"/>
      <w:bookmarkStart w:id="150" w:name="_Toc105607375"/>
      <w:bookmarkStart w:id="151" w:name="_Toc24771"/>
      <w:bookmarkStart w:id="152" w:name="_Toc31039"/>
      <w:r>
        <w:rPr>
          <w:rFonts w:hint="default" w:ascii="Times New Roman" w:hAnsi="Times New Roman" w:eastAsia="楷体" w:cs="Times New Roman"/>
          <w:b/>
          <w:color w:val="auto"/>
          <w:kern w:val="2"/>
          <w:sz w:val="32"/>
          <w:szCs w:val="32"/>
          <w:highlight w:val="none"/>
          <w:lang w:val="en-US" w:eastAsia="zh-CN"/>
        </w:rPr>
        <w:t xml:space="preserve">Dances </w:t>
      </w:r>
      <w:r>
        <w:rPr>
          <w:rFonts w:hint="eastAsia" w:ascii="Times New Roman" w:hAnsi="Times New Roman" w:eastAsia="楷体" w:cs="Times New Roman"/>
          <w:b/>
          <w:color w:val="auto"/>
          <w:kern w:val="2"/>
          <w:sz w:val="32"/>
          <w:szCs w:val="32"/>
          <w:highlight w:val="none"/>
          <w:lang w:val="en-US" w:eastAsia="zh-CN"/>
        </w:rPr>
        <w:t>w</w:t>
      </w:r>
      <w:r>
        <w:rPr>
          <w:rFonts w:hint="default" w:ascii="Times New Roman" w:hAnsi="Times New Roman" w:eastAsia="楷体" w:cs="Times New Roman"/>
          <w:b/>
          <w:color w:val="auto"/>
          <w:kern w:val="2"/>
          <w:sz w:val="32"/>
          <w:szCs w:val="32"/>
          <w:highlight w:val="none"/>
          <w:lang w:val="en-US" w:eastAsia="zh-CN"/>
        </w:rPr>
        <w:t xml:space="preserve">ith Avatar: How Creators Can Reduce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 xml:space="preserve">he Novelty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val="en-US" w:eastAsia="zh-CN"/>
        </w:rPr>
        <w:t xml:space="preserve">f Their Work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o Achieve More Creative Success</w:t>
      </w:r>
      <w:bookmarkEnd w:id="149"/>
    </w:p>
    <w:p w14:paraId="77480BFB">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 xml:space="preserve">Katz, JH (Katz, Joshua H.)1  Ellis, LM (Ellis, Lillien M.)2 </w:t>
      </w:r>
    </w:p>
    <w:p w14:paraId="545D54C2">
      <w:pPr>
        <w:numPr>
          <w:ilvl w:val="0"/>
          <w:numId w:val="0"/>
        </w:numPr>
        <w:spacing w:before="120" w:beforeLines="50" w:after="120" w:afterLines="50" w:line="360" w:lineRule="auto"/>
        <w:ind w:leftChars="0"/>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Univ Carlos III Madrid, Madrid, Spain</w:t>
      </w:r>
    </w:p>
    <w:p w14:paraId="52F7189C">
      <w:pPr>
        <w:numPr>
          <w:numId w:val="0"/>
        </w:num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Univ Virginia, Charlottesville, VA 22903 USA</w:t>
      </w:r>
    </w:p>
    <w:p w14:paraId="47CC0884">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While creativity is an established driver of profit for firms and success for individuals, not all situations are ideal for maximizing creativity. In this work, we establish a framework of ways that creators can deliberately reduce novelty in their works to make them more successful. The first way, permanent novelty reduction (PNR), is where creators decrease novelty in key aspects of their final product to make it more amenable to consumers or gatekeepers. The second way, temporary novelty reduction (TNR), involves strategically decreasing novelty in the short term to overcome environmental or functional resistance to novelty, often leading to a more creative product in the long term. Together, these two categories of novelty reduction support a new theoretical perspective: novelty reduction can play a critical role in the creative process. We develop this perspective by examining James Cameron and his team's creative decisions during the making of one of the most successful films of all time, Avatar.</w:t>
      </w:r>
    </w:p>
    <w:p w14:paraId="6D97D993">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highlight w:val="none"/>
          <w:lang w:val="en-US" w:eastAsia="zh-CN"/>
        </w:rPr>
        <w:t>Employee creativity; Innovation; Organizations; Design; Ideas; Bias</w:t>
      </w:r>
    </w:p>
    <w:p w14:paraId="2554FA3F">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val="en-US" w:eastAsia="zh-CN"/>
        </w:rPr>
        <w:t>（来源：ACADEMY OF MANAGEMENT REVIEW</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val="en-US" w:eastAsia="zh-CN"/>
        </w:rPr>
        <w:t>Volume</w:t>
      </w:r>
      <w:r>
        <w:rPr>
          <w:rFonts w:hint="eastAsia" w:ascii="Times New Roman" w:hAnsi="Times New Roman" w:eastAsia="楷体" w:cs="Times New Roman"/>
          <w:color w:val="0070C0"/>
          <w:sz w:val="21"/>
          <w:szCs w:val="21"/>
          <w:highlight w:val="none"/>
          <w:lang w:val="en-US" w:eastAsia="zh-CN"/>
        </w:rPr>
        <w:t xml:space="preserve"> 50. Issue 1. Jan 2025）</w:t>
      </w:r>
    </w:p>
    <w:bookmarkEnd w:id="136"/>
    <w:bookmarkEnd w:id="150"/>
    <w:bookmarkEnd w:id="151"/>
    <w:bookmarkEnd w:id="152"/>
    <w:p w14:paraId="06ED82B0">
      <w:pPr>
        <w:keepNext w:val="0"/>
        <w:keepLines w:val="0"/>
        <w:pageBreakBefore w:val="0"/>
        <w:widowControl/>
        <w:numPr>
          <w:ilvl w:val="0"/>
          <w:numId w:val="3"/>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auto"/>
          <w:kern w:val="2"/>
          <w:sz w:val="32"/>
          <w:szCs w:val="32"/>
          <w:highlight w:val="none"/>
          <w:lang w:val="en-US" w:eastAsia="zh-CN"/>
        </w:rPr>
      </w:pPr>
      <w:bookmarkStart w:id="153" w:name="_Toc19291"/>
      <w:r>
        <w:rPr>
          <w:rFonts w:hint="default" w:ascii="Times New Roman" w:hAnsi="Times New Roman" w:eastAsia="楷体" w:cs="Times New Roman"/>
          <w:b/>
          <w:color w:val="auto"/>
          <w:kern w:val="2"/>
          <w:sz w:val="32"/>
          <w:szCs w:val="32"/>
          <w:highlight w:val="none"/>
          <w:lang w:val="en-US" w:eastAsia="zh-CN"/>
        </w:rPr>
        <w:t xml:space="preserve">Fostering Creativity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 xml:space="preserve">hrough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val="en-US" w:eastAsia="zh-CN"/>
        </w:rPr>
        <w:t xml:space="preserve">he Exploitation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val="en-US" w:eastAsia="zh-CN"/>
        </w:rPr>
        <w:t xml:space="preserve">f Scientific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val="en-US" w:eastAsia="zh-CN"/>
        </w:rPr>
        <w:t>nd Technological Knowledge</w:t>
      </w:r>
      <w:bookmarkEnd w:id="153"/>
    </w:p>
    <w:p w14:paraId="52E8B4C0">
      <w:pPr>
        <w:spacing w:before="120" w:beforeLines="50" w:after="120" w:afterLines="50" w:line="360" w:lineRule="auto"/>
        <w:jc w:val="both"/>
        <w:rPr>
          <w:rFonts w:hint="default"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sz w:val="21"/>
          <w:szCs w:val="21"/>
          <w:highlight w:val="none"/>
          <w:shd w:val="clear" w:color="auto" w:fill="FFFFFF"/>
          <w:lang w:val="en-US" w:eastAsia="zh-CN"/>
        </w:rPr>
        <w:t>Anckaert, PE (Anckaert, Paul-Emmanuel)1 Cassiman, B (Cassiman, Bruno)2,3</w:t>
      </w:r>
    </w:p>
    <w:p w14:paraId="50A755DC">
      <w:pPr>
        <w:numPr>
          <w:ilvl w:val="0"/>
          <w:numId w:val="0"/>
        </w:num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sz w:val="21"/>
          <w:szCs w:val="21"/>
          <w:highlight w:val="none"/>
          <w:shd w:val="clear" w:color="auto" w:fill="FFFFFF"/>
          <w:lang w:val="en-US" w:eastAsia="zh-CN"/>
        </w:rPr>
        <w:t>1. Univ Cote DAzur GREDEG, SKEMA Business Sch, Ave Willy Brandt, F-59777 Lille, France</w:t>
      </w:r>
    </w:p>
    <w:p w14:paraId="6E26E2BA">
      <w:pPr>
        <w:numPr>
          <w:ilvl w:val="0"/>
          <w:numId w:val="4"/>
        </w:numPr>
        <w:spacing w:before="120" w:beforeLines="50" w:after="120" w:afterLines="50" w:line="360" w:lineRule="auto"/>
        <w:ind w:left="0" w:leftChars="0" w:firstLine="0" w:firstLineChars="0"/>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sz w:val="21"/>
          <w:szCs w:val="21"/>
          <w:highlight w:val="none"/>
          <w:shd w:val="clear" w:color="auto" w:fill="FFFFFF"/>
          <w:lang w:val="en-US" w:eastAsia="zh-CN"/>
        </w:rPr>
        <w:t>Katholieke Univ Leuven, Dept Management Strategy &amp; Innovat, Naamsestraat 69, B-3000 Leuven, Belgium</w:t>
      </w:r>
    </w:p>
    <w:p w14:paraId="68E687F0">
      <w:pPr>
        <w:numPr>
          <w:ilvl w:val="0"/>
          <w:numId w:val="0"/>
        </w:num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sz w:val="21"/>
          <w:szCs w:val="21"/>
          <w:highlight w:val="none"/>
          <w:shd w:val="clear" w:color="auto" w:fill="FFFFFF"/>
          <w:lang w:val="en-US" w:eastAsia="zh-CN"/>
        </w:rPr>
        <w:t>3. IESE Business Sch, Strateg Management Dept, Ave Pearson 21, Barcelona 08034, Spain</w:t>
      </w:r>
    </w:p>
    <w:p w14:paraId="2FCEAAD1">
      <w:pPr>
        <w:numPr>
          <w:ilvl w:val="0"/>
          <w:numId w:val="0"/>
        </w:num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sz w:val="21"/>
          <w:szCs w:val="21"/>
          <w:highlight w:val="none"/>
          <w:shd w:val="clear" w:color="auto" w:fill="FFFFFF"/>
          <w:lang w:val="en-US" w:eastAsia="zh-CN"/>
        </w:rPr>
        <w:t xml:space="preserve">E-mail Addresses </w:t>
      </w:r>
    </w:p>
    <w:p w14:paraId="070AEBC0">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sz w:val="21"/>
          <w:szCs w:val="21"/>
          <w:highlight w:val="none"/>
          <w:shd w:val="clear" w:color="auto" w:fill="FFFFFF"/>
          <w:lang w:val="en-US" w:eastAsia="zh-CN"/>
        </w:rPr>
        <w:t>The most creative inventions-i.e., inventions that are both novel and highly valuable-in the lithium-ion battery field are developed by inventors that exploit their own field-specific knowledge base, leveraging scientific and technological knowledge components they previously developed. This observation contrasts with the findings of prior literature, which has argued that exploration driven by inventors new to a field tends to drive novel and breakthrough inventions. We argue that the technological context and characteristics of the recombinant search process underlying technology development provide important theoretical boundaries to these prior findings and should be considered. In a complex and science-driven technology field, we expect an inventor's own accumulated scientific and technological field-specific knowledge base to play an important role in advancing that technology field and to matter more for generating novel and breakthrough inventions.</w:t>
      </w:r>
    </w:p>
    <w:p w14:paraId="426F4856">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sz w:val="21"/>
          <w:szCs w:val="21"/>
          <w:highlight w:val="none"/>
          <w:shd w:val="clear" w:color="auto" w:fill="FFFFFF"/>
          <w:lang w:val="en-US" w:eastAsia="zh-CN"/>
        </w:rPr>
        <w:t>Research-and-development; Patent citations; Tacit knowledge; Intellectual property; Absorptive-capacity; Local search; Science; Innovation; Firm; Experience</w:t>
      </w:r>
    </w:p>
    <w:p w14:paraId="55A158EE">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Times New Roman"/>
          <w:color w:val="0070C0"/>
          <w:sz w:val="21"/>
          <w:szCs w:val="21"/>
          <w:highlight w:val="none"/>
          <w:lang w:val="en-US" w:eastAsia="zh-CN"/>
        </w:rPr>
        <w:t>（来源：</w:t>
      </w:r>
      <w:r>
        <w:rPr>
          <w:rFonts w:hint="eastAsia" w:ascii="Times New Roman" w:hAnsi="Times New Roman" w:eastAsia="楷体" w:cs="楷体"/>
          <w:color w:val="0070C0"/>
          <w:sz w:val="21"/>
          <w:szCs w:val="21"/>
          <w:highlight w:val="none"/>
          <w:lang w:eastAsia="zh-CN"/>
        </w:rPr>
        <w:t>INDUSTRIAL AND CORPORATE CHANGE</w:t>
      </w:r>
      <w:r>
        <w:rPr>
          <w:rFonts w:hint="eastAsia" w:ascii="Times New Roman" w:hAnsi="Times New Roman" w:eastAsia="楷体" w:cs="楷体"/>
          <w:color w:val="0070C0"/>
          <w:sz w:val="21"/>
          <w:szCs w:val="21"/>
          <w:highlight w:val="none"/>
          <w:lang w:val="en-US" w:eastAsia="zh-CN"/>
        </w:rPr>
        <w:t xml:space="preserve">. Jul </w:t>
      </w:r>
      <w:r>
        <w:rPr>
          <w:rFonts w:hint="eastAsia" w:ascii="Times New Roman" w:hAnsi="Times New Roman" w:eastAsia="楷体" w:cs="Times New Roman"/>
          <w:color w:val="0070C0"/>
          <w:sz w:val="21"/>
          <w:szCs w:val="21"/>
          <w:highlight w:val="none"/>
          <w:lang w:val="en-US" w:eastAsia="zh-CN"/>
        </w:rPr>
        <w:t>2025）</w:t>
      </w:r>
    </w:p>
    <w:p w14:paraId="384464B5">
      <w:pPr>
        <w:spacing w:before="120" w:beforeLines="50" w:after="120" w:afterLines="50" w:line="360" w:lineRule="auto"/>
        <w:jc w:val="both"/>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highlight w:val="none"/>
          <w:lang w:val="en-US" w:eastAsia="zh-CN" w:bidi="ar-SA"/>
        </w:rPr>
      </w:pPr>
      <w:bookmarkStart w:id="154" w:name="_Toc9442"/>
      <w:r>
        <w:rPr>
          <w:rFonts w:hint="eastAsia" w:ascii="Times New Roman" w:hAnsi="Times New Roman" w:eastAsia="仿宋" w:cs="Times New Roman"/>
          <w:b/>
          <w:bCs/>
          <w:color w:val="376092" w:themeColor="accent1" w:themeShade="BF"/>
          <w:kern w:val="44"/>
          <w:sz w:val="44"/>
          <w:szCs w:val="44"/>
          <w:highlight w:val="none"/>
          <w:lang w:val="en-US" w:eastAsia="zh-CN" w:bidi="ar-SA"/>
        </w:rPr>
        <w:t>南湖学人成果速递</w:t>
      </w:r>
      <w:bookmarkEnd w:id="154"/>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highlight w:val="none"/>
          <w:lang w:val="en-US" w:eastAsia="zh-CN" w:bidi="ar"/>
        </w:rPr>
      </w:pPr>
      <w:r>
        <w:rPr>
          <w:rFonts w:hint="eastAsia" w:ascii="宋体" w:hAnsi="宋体" w:eastAsia="宋体" w:cs="宋体"/>
          <w:b/>
          <w:bCs/>
          <w:color w:val="95B3D7"/>
          <w:kern w:val="2"/>
          <w:sz w:val="21"/>
          <w:szCs w:val="21"/>
          <w:highlight w:val="none"/>
          <w:lang w:val="en-US" w:eastAsia="zh-CN" w:bidi="ar"/>
        </w:rPr>
        <w:t>推介范围：中南财经政法大学知识产权研究中心之研究成果</w:t>
      </w:r>
    </w:p>
    <w:p w14:paraId="1CF0BF16">
      <w:pPr>
        <w:keepNext/>
        <w:keepLines/>
        <w:numPr>
          <w:ilvl w:val="0"/>
          <w:numId w:val="5"/>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55" w:name="_Toc7351"/>
      <w:r>
        <w:rPr>
          <w:rFonts w:hint="default" w:ascii="Times New Roman" w:hAnsi="Times New Roman" w:eastAsia="方正小标宋简体" w:cs="方正小标宋简体"/>
          <w:bCs/>
          <w:color w:val="000000"/>
          <w:kern w:val="2"/>
          <w:sz w:val="28"/>
          <w:szCs w:val="28"/>
          <w:highlight w:val="none"/>
          <w:lang w:val="en-US" w:eastAsia="zh-CN"/>
        </w:rPr>
        <w:t>理论、历史与实践</w:t>
      </w:r>
      <w:r>
        <w:rPr>
          <w:rFonts w:hint="eastAsia" w:ascii="Times New Roman" w:hAnsi="Times New Roman" w:eastAsia="方正小标宋简体" w:cs="方正小标宋简体"/>
          <w:bCs/>
          <w:color w:val="000000"/>
          <w:kern w:val="2"/>
          <w:sz w:val="28"/>
          <w:szCs w:val="28"/>
          <w:highlight w:val="none"/>
          <w:lang w:val="en-US" w:eastAsia="zh-CN"/>
        </w:rPr>
        <w:t>：</w:t>
      </w:r>
      <w:r>
        <w:rPr>
          <w:rFonts w:hint="default" w:ascii="Times New Roman" w:hAnsi="Times New Roman" w:eastAsia="方正小标宋简体" w:cs="方正小标宋简体"/>
          <w:bCs/>
          <w:color w:val="000000"/>
          <w:kern w:val="2"/>
          <w:sz w:val="28"/>
          <w:szCs w:val="28"/>
          <w:highlight w:val="none"/>
          <w:lang w:val="en-US" w:eastAsia="zh-CN"/>
        </w:rPr>
        <w:t>知识产权领域国家安全治理的三重逻辑</w:t>
      </w:r>
      <w:bookmarkEnd w:id="155"/>
    </w:p>
    <w:p w14:paraId="24E57C58">
      <w:pPr>
        <w:spacing w:before="120" w:beforeLines="50" w:after="120" w:afterLines="50" w:line="360" w:lineRule="auto"/>
        <w:jc w:val="both"/>
        <w:rPr>
          <w:rFonts w:hint="default" w:ascii="Times New Roman" w:hAnsi="Times New Roman" w:eastAsia="楷体" w:cs="楷体"/>
          <w:b/>
          <w:bCs w:val="0"/>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作者介绍：</w:t>
      </w:r>
    </w:p>
    <w:p w14:paraId="1844C550">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何华：中南财经政法大学知识产权研究中心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教授</w:t>
      </w:r>
    </w:p>
    <w:p w14:paraId="657D59DA">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发表期刊：</w:t>
      </w:r>
      <w:r>
        <w:rPr>
          <w:rFonts w:hint="default" w:ascii="Times New Roman" w:hAnsi="Times New Roman" w:eastAsia="楷体" w:cs="楷体"/>
          <w:b w:val="0"/>
          <w:bCs/>
          <w:color w:val="000000"/>
          <w:szCs w:val="21"/>
          <w:highlight w:val="none"/>
          <w:shd w:val="clear" w:color="auto" w:fill="FFFFFF"/>
          <w:lang w:val="en-US" w:eastAsia="zh-CN"/>
        </w:rPr>
        <w:t>《法商研究》2025年第</w:t>
      </w:r>
      <w:r>
        <w:rPr>
          <w:rFonts w:hint="eastAsia" w:ascii="Times New Roman" w:hAnsi="Times New Roman" w:eastAsia="楷体" w:cs="楷体"/>
          <w:b w:val="0"/>
          <w:bCs/>
          <w:color w:val="000000"/>
          <w:szCs w:val="21"/>
          <w:highlight w:val="none"/>
          <w:shd w:val="clear" w:color="auto" w:fill="FFFFFF"/>
          <w:lang w:val="en-US" w:eastAsia="zh-CN"/>
        </w:rPr>
        <w:t>4</w:t>
      </w:r>
      <w:r>
        <w:rPr>
          <w:rFonts w:hint="default" w:ascii="Times New Roman" w:hAnsi="Times New Roman" w:eastAsia="楷体" w:cs="楷体"/>
          <w:b w:val="0"/>
          <w:bCs/>
          <w:color w:val="000000"/>
          <w:szCs w:val="21"/>
          <w:highlight w:val="none"/>
          <w:shd w:val="clear" w:color="auto" w:fill="FFFFFF"/>
          <w:lang w:val="en-US" w:eastAsia="zh-CN"/>
        </w:rPr>
        <w:t>期</w:t>
      </w:r>
    </w:p>
    <w:p w14:paraId="5E74AA21">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中文摘要：</w:t>
      </w:r>
      <w:r>
        <w:rPr>
          <w:rFonts w:hint="default" w:ascii="Times New Roman" w:hAnsi="Times New Roman" w:eastAsia="楷体" w:cs="楷体"/>
          <w:b w:val="0"/>
          <w:bCs/>
          <w:color w:val="000000"/>
          <w:szCs w:val="21"/>
          <w:highlight w:val="none"/>
          <w:shd w:val="clear" w:color="auto" w:fill="FFFFFF"/>
          <w:lang w:val="en-US" w:eastAsia="zh-CN"/>
        </w:rPr>
        <w:t>知识产权与国家安全之间存在深刻联系。知识产权与国家安全的理论连接点在于知识的权力化，知识产权在知识权力化过程中具有基础性作用。知识产权与国家安全之间存在多重关系，有时相互促进，有时相互紧张。随着非传统国家安全问题的涌现，知识产权领域国家安全治理经历了一个适用场景多元化、治理议题国际化、治理地位中心化的发展历程。知识产权领域国家安全治理的实践可以在国内法和国际法层面展开。我国当前知识产权领域国家安全治理的法律体系存在一系列不足，应当在总体国家安全观的指导下从完善治理法律体系、统合制度规范、提升法律的可操作性、积极参与知识产权全球治理体系改革等方面予以优化。</w:t>
      </w:r>
    </w:p>
    <w:p w14:paraId="3F906456">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关键词：</w:t>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知识产权</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国家安全</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理论逻辑</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历史逻辑</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实践逻辑</w:t>
      </w:r>
    </w:p>
    <w:p w14:paraId="55E5587D">
      <w:pPr>
        <w:keepNext/>
        <w:keepLines/>
        <w:numPr>
          <w:ilvl w:val="0"/>
          <w:numId w:val="5"/>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56" w:name="_Toc19818"/>
      <w:r>
        <w:rPr>
          <w:rFonts w:hint="default" w:ascii="Times New Roman" w:hAnsi="Times New Roman" w:eastAsia="方正小标宋简体" w:cs="方正小标宋简体"/>
          <w:bCs/>
          <w:color w:val="000000"/>
          <w:kern w:val="2"/>
          <w:sz w:val="28"/>
          <w:szCs w:val="28"/>
          <w:highlight w:val="none"/>
          <w:lang w:val="en-US" w:eastAsia="zh-CN"/>
        </w:rPr>
        <w:t>生成式人工智能驱动下企业数据商业秘密保护制度调适</w:t>
      </w:r>
      <w:bookmarkEnd w:id="156"/>
    </w:p>
    <w:p w14:paraId="3CDEE45A">
      <w:pPr>
        <w:spacing w:before="120" w:beforeLines="50" w:after="120" w:afterLines="50" w:line="360" w:lineRule="auto"/>
        <w:jc w:val="both"/>
        <w:rPr>
          <w:rFonts w:hint="default" w:ascii="Times New Roman" w:hAnsi="Times New Roman" w:eastAsia="楷体" w:cs="楷体"/>
          <w:b/>
          <w:bCs w:val="0"/>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作者介绍：</w:t>
      </w:r>
    </w:p>
    <w:p w14:paraId="1D013AA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马一德：中南财经政法大学知识产权研究中心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教授</w:t>
      </w:r>
    </w:p>
    <w:p w14:paraId="193FF976">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汪婷：中南财经政法大学知识产权研究中心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博士研究生</w:t>
      </w:r>
    </w:p>
    <w:p w14:paraId="149BDBCC">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发表期刊：</w:t>
      </w:r>
      <w:r>
        <w:rPr>
          <w:rFonts w:hint="default" w:ascii="Times New Roman" w:hAnsi="Times New Roman" w:eastAsia="楷体" w:cs="楷体"/>
          <w:b w:val="0"/>
          <w:bCs/>
          <w:color w:val="000000"/>
          <w:szCs w:val="21"/>
          <w:highlight w:val="none"/>
          <w:shd w:val="clear" w:color="auto" w:fill="FFFFFF"/>
          <w:lang w:val="en-US" w:eastAsia="zh-CN"/>
        </w:rPr>
        <w:t>《山东师范大学学报</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社会科学版</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》2025年第</w:t>
      </w:r>
      <w:r>
        <w:rPr>
          <w:rFonts w:hint="eastAsia" w:ascii="Times New Roman" w:hAnsi="Times New Roman" w:eastAsia="楷体" w:cs="楷体"/>
          <w:b w:val="0"/>
          <w:bCs/>
          <w:color w:val="000000"/>
          <w:szCs w:val="21"/>
          <w:highlight w:val="none"/>
          <w:shd w:val="clear" w:color="auto" w:fill="FFFFFF"/>
          <w:lang w:val="en-US" w:eastAsia="zh-CN"/>
        </w:rPr>
        <w:t>4</w:t>
      </w:r>
      <w:r>
        <w:rPr>
          <w:rFonts w:hint="default" w:ascii="Times New Roman" w:hAnsi="Times New Roman" w:eastAsia="楷体" w:cs="楷体"/>
          <w:b w:val="0"/>
          <w:bCs/>
          <w:color w:val="000000"/>
          <w:szCs w:val="21"/>
          <w:highlight w:val="none"/>
          <w:shd w:val="clear" w:color="auto" w:fill="FFFFFF"/>
          <w:lang w:val="en-US" w:eastAsia="zh-CN"/>
        </w:rPr>
        <w:t>期</w:t>
      </w:r>
    </w:p>
    <w:p w14:paraId="5916572E">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中文摘要：</w:t>
      </w:r>
      <w:r>
        <w:rPr>
          <w:rFonts w:hint="default" w:ascii="Times New Roman" w:hAnsi="Times New Roman" w:eastAsia="楷体" w:cs="楷体"/>
          <w:b w:val="0"/>
          <w:bCs/>
          <w:color w:val="000000"/>
          <w:szCs w:val="21"/>
          <w:highlight w:val="none"/>
          <w:shd w:val="clear" w:color="auto" w:fill="FFFFFF"/>
          <w:lang w:val="en-US" w:eastAsia="zh-CN"/>
        </w:rPr>
        <w:t>生成式人工智能技术的应用对企业数据商业秘密保护构成结构性挑战。企业数据在训练数据中隐性扩散、在模型应用中失控流转，引发商业秘密流动失控风险，并导致商业秘密构成要件面临双重制度困境：保密性因保密意愿否定与技术不可控性遭遇主客观解构，秘密性因输出结果相似性与数据可及性而趋于形式化。由此引发的传统法律规则与技术特性之间的适配性危机亟待破解。与此同时，数字时代催生了商业秘密保护理论的三重范式转型，即数据控制权理论突破绝对保密传统，合作保密机制重构保密与共享的二元对立，以及动态价值评估体系承认数据训练贡献与组合秘密独立价值。基于此，需构建多维协同治理方案：规则层面建立动态化构成要件认定标准；技术层面依托区块链存证、隐私计算与算法透明度监管工具实现数据流通风险管控；实施保障层面则形成政企协同、行业自律与司法规则统一的三重机制。该方案旨在为平衡技术创新激励与数据安全维护提供法治解方，并为数据要素市场化配置中的产权保护提供范式参考。</w:t>
      </w:r>
    </w:p>
    <w:p w14:paraId="137E7FEF">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关键词：</w:t>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生成式人工智能</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企业数据</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商业秘密保护</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数据控制权</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制度调适</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协同治理</w:t>
      </w:r>
    </w:p>
    <w:p w14:paraId="24BF2AC7">
      <w:pPr>
        <w:keepNext/>
        <w:keepLines/>
        <w:numPr>
          <w:ilvl w:val="0"/>
          <w:numId w:val="5"/>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57" w:name="_Toc17006"/>
      <w:r>
        <w:rPr>
          <w:rFonts w:hint="default" w:ascii="Times New Roman" w:hAnsi="Times New Roman" w:eastAsia="方正小标宋简体" w:cs="方正小标宋简体"/>
          <w:bCs/>
          <w:color w:val="000000"/>
          <w:kern w:val="2"/>
          <w:sz w:val="28"/>
          <w:szCs w:val="28"/>
          <w:highlight w:val="none"/>
          <w:lang w:val="en-US" w:eastAsia="zh-CN"/>
        </w:rPr>
        <w:t>数据作为知识产权客体的思辨与模式选择</w:t>
      </w:r>
      <w:bookmarkEnd w:id="157"/>
    </w:p>
    <w:p w14:paraId="136411F6">
      <w:pPr>
        <w:spacing w:before="120" w:beforeLines="50" w:after="120" w:afterLines="50" w:line="360" w:lineRule="auto"/>
        <w:jc w:val="both"/>
        <w:rPr>
          <w:rFonts w:hint="default" w:ascii="Times New Roman" w:hAnsi="Times New Roman" w:eastAsia="楷体" w:cs="楷体"/>
          <w:b/>
          <w:bCs w:val="0"/>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作者介绍：</w:t>
      </w:r>
    </w:p>
    <w:p w14:paraId="086E3898">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曹新明：中南财经政法大学知识产权研究中心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教授</w:t>
      </w:r>
    </w:p>
    <w:p w14:paraId="6FE2FF5E">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范晔：中南财经政法大学知识产权研究中心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博士研究生</w:t>
      </w:r>
    </w:p>
    <w:p w14:paraId="4AEE9C5E">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发表期刊：</w:t>
      </w:r>
      <w:r>
        <w:rPr>
          <w:rFonts w:hint="default" w:ascii="Times New Roman" w:hAnsi="Times New Roman" w:eastAsia="楷体" w:cs="楷体"/>
          <w:b w:val="0"/>
          <w:bCs/>
          <w:color w:val="000000"/>
          <w:szCs w:val="21"/>
          <w:highlight w:val="none"/>
          <w:shd w:val="clear" w:color="auto" w:fill="FFFFFF"/>
          <w:lang w:val="en-US" w:eastAsia="zh-CN"/>
        </w:rPr>
        <w:t>《知识产权》2025年第</w:t>
      </w:r>
      <w:r>
        <w:rPr>
          <w:rFonts w:hint="eastAsia" w:ascii="Times New Roman" w:hAnsi="Times New Roman" w:eastAsia="楷体" w:cs="楷体"/>
          <w:b w:val="0"/>
          <w:bCs/>
          <w:color w:val="000000"/>
          <w:szCs w:val="21"/>
          <w:highlight w:val="none"/>
          <w:shd w:val="clear" w:color="auto" w:fill="FFFFFF"/>
          <w:lang w:val="en-US" w:eastAsia="zh-CN"/>
        </w:rPr>
        <w:t>6</w:t>
      </w:r>
      <w:r>
        <w:rPr>
          <w:rFonts w:hint="default" w:ascii="Times New Roman" w:hAnsi="Times New Roman" w:eastAsia="楷体" w:cs="楷体"/>
          <w:b w:val="0"/>
          <w:bCs/>
          <w:color w:val="000000"/>
          <w:szCs w:val="21"/>
          <w:highlight w:val="none"/>
          <w:shd w:val="clear" w:color="auto" w:fill="FFFFFF"/>
          <w:lang w:val="en-US" w:eastAsia="zh-CN"/>
        </w:rPr>
        <w:t>期</w:t>
      </w:r>
    </w:p>
    <w:p w14:paraId="0AE139F5">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中文摘要：</w:t>
      </w:r>
      <w:r>
        <w:rPr>
          <w:rFonts w:hint="default" w:ascii="Times New Roman" w:hAnsi="Times New Roman" w:eastAsia="楷体" w:cs="楷体"/>
          <w:b w:val="0"/>
          <w:bCs/>
          <w:color w:val="000000"/>
          <w:szCs w:val="21"/>
          <w:highlight w:val="none"/>
          <w:shd w:val="clear" w:color="auto" w:fill="FFFFFF"/>
          <w:lang w:val="en-US" w:eastAsia="zh-CN"/>
        </w:rPr>
        <w:t>我国正积极探索构建数据知识产权保护规则，但对其所涉若干基础性问题尚未达成共识，亟待回应。数据具备知识产权客体的智力成果属性，将其纳入知识产权法体系具有可行性。数据知识产权登记能够为数据知识产权保护规则提供实践基础，但在数据财产赋权立法缺位的情况下，应明确其制度功能为“证权”而非“确权”，进而澄清登记客体、模式和效力等存有争议的问题。数据之上存在多元利益格局，类型化思维是厘清数据知识产权保护问题的关键。由于数据与既有知识产权客体之间存在重叠，可将数据划分为知识产权类数据和其他数据，依托现有知识产权法和竞争法制度，为类型化的数据分别匹配相应的、更适宜的产权制度。</w:t>
      </w:r>
    </w:p>
    <w:p w14:paraId="12CF6E70">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关键词：</w:t>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数据知识产权</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数据类型化</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登记</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反不正当竞争法</w:t>
      </w:r>
    </w:p>
    <w:p w14:paraId="2899FF6E">
      <w:pPr>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br w:type="page"/>
      </w: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58" w:name="页尾"/>
      <w:bookmarkEnd w:id="158"/>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7</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129</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朱璐彤</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杨雯</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18064768486@163.com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B5B3C7F4-A28A-4280-92DB-6A89F04275D9}"/>
  </w:font>
  <w:font w:name="仿宋">
    <w:panose1 w:val="02010609060101010101"/>
    <w:charset w:val="86"/>
    <w:family w:val="modern"/>
    <w:pitch w:val="default"/>
    <w:sig w:usb0="800002BF" w:usb1="38CF7CFA" w:usb2="00000016" w:usb3="00000000" w:csb0="00040001" w:csb1="00000000"/>
    <w:embedRegular r:id="rId2" w:fontKey="{9B06FAF7-18E2-43C8-94E2-881F48D3F052}"/>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28AF8ACB-CA48-411C-822E-7FF9522B82B7}"/>
  </w:font>
  <w:font w:name="方正小标宋_GBK">
    <w:panose1 w:val="02000000000000000000"/>
    <w:charset w:val="86"/>
    <w:family w:val="auto"/>
    <w:pitch w:val="default"/>
    <w:sig w:usb0="A00002BF" w:usb1="38CF7CFA" w:usb2="00082016" w:usb3="00000000" w:csb0="00040001" w:csb1="00000000"/>
    <w:embedRegular r:id="rId4" w:fontKey="{C20AA56E-3DE1-4556-94F8-7DB2ACB6BC59}"/>
  </w:font>
  <w:font w:name="楷体">
    <w:panose1 w:val="02010609060101010101"/>
    <w:charset w:val="86"/>
    <w:family w:val="modern"/>
    <w:pitch w:val="default"/>
    <w:sig w:usb0="800002BF" w:usb1="38CF7CFA" w:usb2="00000016" w:usb3="00000000" w:csb0="00040001" w:csb1="00000000"/>
    <w:embedRegular r:id="rId5" w:fontKey="{2E873D16-4CC8-4767-8231-57E83F7A80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center"/>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29</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9FAC"/>
    <w:multiLevelType w:val="singleLevel"/>
    <w:tmpl w:val="CA539FAC"/>
    <w:lvl w:ilvl="0" w:tentative="0">
      <w:start w:val="4"/>
      <w:numFmt w:val="decimal"/>
      <w:suff w:val="space"/>
      <w:lvlText w:val="%1."/>
      <w:lvlJc w:val="left"/>
    </w:lvl>
  </w:abstractNum>
  <w:abstractNum w:abstractNumId="1">
    <w:nsid w:val="F12C640A"/>
    <w:multiLevelType w:val="singleLevel"/>
    <w:tmpl w:val="F12C640A"/>
    <w:lvl w:ilvl="0" w:tentative="0">
      <w:start w:val="2"/>
      <w:numFmt w:val="decimal"/>
      <w:suff w:val="space"/>
      <w:lvlText w:val="%1."/>
      <w:lvlJc w:val="left"/>
    </w:lvl>
  </w:abstractNum>
  <w:abstractNum w:abstractNumId="2">
    <w:nsid w:val="1EEF2CE1"/>
    <w:multiLevelType w:val="singleLevel"/>
    <w:tmpl w:val="1EEF2CE1"/>
    <w:lvl w:ilvl="0" w:tentative="0">
      <w:start w:val="2"/>
      <w:numFmt w:val="decimal"/>
      <w:suff w:val="space"/>
      <w:lvlText w:val="%1."/>
      <w:lvlJc w:val="left"/>
    </w:lvl>
  </w:abstractNum>
  <w:abstractNum w:abstractNumId="3">
    <w:nsid w:val="3CFD5D5F"/>
    <w:multiLevelType w:val="singleLevel"/>
    <w:tmpl w:val="3CFD5D5F"/>
    <w:lvl w:ilvl="0" w:tentative="0">
      <w:start w:val="2"/>
      <w:numFmt w:val="decimal"/>
      <w:suff w:val="space"/>
      <w:lvlText w:val="%1."/>
      <w:lvlJc w:val="left"/>
    </w:lvl>
  </w:abstractNum>
  <w:abstractNum w:abstractNumId="4">
    <w:nsid w:val="4249D4DC"/>
    <w:multiLevelType w:val="singleLevel"/>
    <w:tmpl w:val="4249D4DC"/>
    <w:lvl w:ilvl="0" w:tentative="0">
      <w:start w:val="1"/>
      <w:numFmt w:val="decimal"/>
      <w:suff w:val="space"/>
      <w:lvlText w:val="%1."/>
      <w:lvlJc w:val="left"/>
      <w:rPr>
        <w:rFonts w:hint="default"/>
        <w:sz w:val="28"/>
        <w:szCs w:val="28"/>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0C6A"/>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4A102B"/>
    <w:rsid w:val="01706922"/>
    <w:rsid w:val="01772A9E"/>
    <w:rsid w:val="01910A08"/>
    <w:rsid w:val="01A26771"/>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083E07"/>
    <w:rsid w:val="030F42DA"/>
    <w:rsid w:val="03215DBB"/>
    <w:rsid w:val="0326169D"/>
    <w:rsid w:val="03305FFE"/>
    <w:rsid w:val="03360C8C"/>
    <w:rsid w:val="036D2DAF"/>
    <w:rsid w:val="037B78C5"/>
    <w:rsid w:val="038629BA"/>
    <w:rsid w:val="038805C4"/>
    <w:rsid w:val="038F71C9"/>
    <w:rsid w:val="03B82336"/>
    <w:rsid w:val="03D25D2F"/>
    <w:rsid w:val="03D55E36"/>
    <w:rsid w:val="040C0819"/>
    <w:rsid w:val="04194CE4"/>
    <w:rsid w:val="042711AF"/>
    <w:rsid w:val="04284E13"/>
    <w:rsid w:val="0433332C"/>
    <w:rsid w:val="045D2E23"/>
    <w:rsid w:val="04642403"/>
    <w:rsid w:val="046F76DC"/>
    <w:rsid w:val="049636C9"/>
    <w:rsid w:val="04F35535"/>
    <w:rsid w:val="04FC7762"/>
    <w:rsid w:val="052575A0"/>
    <w:rsid w:val="057C3DDD"/>
    <w:rsid w:val="05A95E70"/>
    <w:rsid w:val="061F4808"/>
    <w:rsid w:val="06435032"/>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87A61"/>
    <w:rsid w:val="08FA1588"/>
    <w:rsid w:val="0903234D"/>
    <w:rsid w:val="0935611C"/>
    <w:rsid w:val="09356D9D"/>
    <w:rsid w:val="09440298"/>
    <w:rsid w:val="094F1815"/>
    <w:rsid w:val="09733EF5"/>
    <w:rsid w:val="09AE3122"/>
    <w:rsid w:val="09B41737"/>
    <w:rsid w:val="09B63701"/>
    <w:rsid w:val="09D05E45"/>
    <w:rsid w:val="0A8605CD"/>
    <w:rsid w:val="0A8B2967"/>
    <w:rsid w:val="0A8C6210"/>
    <w:rsid w:val="0AD9119F"/>
    <w:rsid w:val="0AEF73B9"/>
    <w:rsid w:val="0B150D3E"/>
    <w:rsid w:val="0B1E49B1"/>
    <w:rsid w:val="0B2203A9"/>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0A52"/>
    <w:rsid w:val="0D1338AF"/>
    <w:rsid w:val="0D2A1D10"/>
    <w:rsid w:val="0D431124"/>
    <w:rsid w:val="0D692839"/>
    <w:rsid w:val="0D6C2329"/>
    <w:rsid w:val="0D8D014A"/>
    <w:rsid w:val="0DA27DDC"/>
    <w:rsid w:val="0DD203DE"/>
    <w:rsid w:val="0E49028D"/>
    <w:rsid w:val="0E663181"/>
    <w:rsid w:val="0E686E56"/>
    <w:rsid w:val="0E854481"/>
    <w:rsid w:val="0ECF2B6F"/>
    <w:rsid w:val="0ED32660"/>
    <w:rsid w:val="0F2227A9"/>
    <w:rsid w:val="0F360E40"/>
    <w:rsid w:val="0F3E3909"/>
    <w:rsid w:val="0F53048C"/>
    <w:rsid w:val="0F651E25"/>
    <w:rsid w:val="0F73799F"/>
    <w:rsid w:val="0F742EB9"/>
    <w:rsid w:val="0F8E6586"/>
    <w:rsid w:val="0F9702FB"/>
    <w:rsid w:val="0FA47E54"/>
    <w:rsid w:val="0FA91612"/>
    <w:rsid w:val="0FC238EE"/>
    <w:rsid w:val="0FD111F9"/>
    <w:rsid w:val="0FFC328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B03FB1"/>
    <w:rsid w:val="11CE463B"/>
    <w:rsid w:val="11D373CE"/>
    <w:rsid w:val="11F272A1"/>
    <w:rsid w:val="11FF05B4"/>
    <w:rsid w:val="121E5FC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50B23C9"/>
    <w:rsid w:val="150E6BFB"/>
    <w:rsid w:val="151076E3"/>
    <w:rsid w:val="15175270"/>
    <w:rsid w:val="154A78C4"/>
    <w:rsid w:val="157955E3"/>
    <w:rsid w:val="157E6FEF"/>
    <w:rsid w:val="1585042C"/>
    <w:rsid w:val="158F108D"/>
    <w:rsid w:val="15A9601F"/>
    <w:rsid w:val="15AF7257"/>
    <w:rsid w:val="15BE749A"/>
    <w:rsid w:val="15C5141D"/>
    <w:rsid w:val="15CA5E3E"/>
    <w:rsid w:val="15D171CD"/>
    <w:rsid w:val="16041350"/>
    <w:rsid w:val="16153DDC"/>
    <w:rsid w:val="16193017"/>
    <w:rsid w:val="161C2B3E"/>
    <w:rsid w:val="16291BE9"/>
    <w:rsid w:val="163360DA"/>
    <w:rsid w:val="16350DFD"/>
    <w:rsid w:val="16366249"/>
    <w:rsid w:val="1642632E"/>
    <w:rsid w:val="166149F5"/>
    <w:rsid w:val="167F131F"/>
    <w:rsid w:val="168626AD"/>
    <w:rsid w:val="16A10C30"/>
    <w:rsid w:val="16A36DBB"/>
    <w:rsid w:val="16A440EC"/>
    <w:rsid w:val="16D12461"/>
    <w:rsid w:val="16D231FD"/>
    <w:rsid w:val="16EF4171"/>
    <w:rsid w:val="16F45869"/>
    <w:rsid w:val="17285513"/>
    <w:rsid w:val="173C0FBE"/>
    <w:rsid w:val="17AD707E"/>
    <w:rsid w:val="17C70888"/>
    <w:rsid w:val="17F65611"/>
    <w:rsid w:val="17FF2717"/>
    <w:rsid w:val="181B0C49"/>
    <w:rsid w:val="18442F4F"/>
    <w:rsid w:val="186A7CDE"/>
    <w:rsid w:val="18706826"/>
    <w:rsid w:val="188C387F"/>
    <w:rsid w:val="189015C1"/>
    <w:rsid w:val="18B352B0"/>
    <w:rsid w:val="18B906C0"/>
    <w:rsid w:val="18B955D1"/>
    <w:rsid w:val="18BA03EC"/>
    <w:rsid w:val="18C96881"/>
    <w:rsid w:val="18E13BCB"/>
    <w:rsid w:val="19061883"/>
    <w:rsid w:val="190D760D"/>
    <w:rsid w:val="194523AC"/>
    <w:rsid w:val="194B43FA"/>
    <w:rsid w:val="194D1260"/>
    <w:rsid w:val="19651341"/>
    <w:rsid w:val="198033E4"/>
    <w:rsid w:val="19D26DF3"/>
    <w:rsid w:val="19D57567"/>
    <w:rsid w:val="19EB76AA"/>
    <w:rsid w:val="19EB796A"/>
    <w:rsid w:val="19F11A2B"/>
    <w:rsid w:val="1A093F8E"/>
    <w:rsid w:val="1A190AEF"/>
    <w:rsid w:val="1A400CBF"/>
    <w:rsid w:val="1A4E2B62"/>
    <w:rsid w:val="1A624F5C"/>
    <w:rsid w:val="1A64256F"/>
    <w:rsid w:val="1A644AB4"/>
    <w:rsid w:val="1A750C3B"/>
    <w:rsid w:val="1A8769F4"/>
    <w:rsid w:val="1ADD6614"/>
    <w:rsid w:val="1AED2CFB"/>
    <w:rsid w:val="1B065B6B"/>
    <w:rsid w:val="1B2304CB"/>
    <w:rsid w:val="1B261223"/>
    <w:rsid w:val="1B290502"/>
    <w:rsid w:val="1B3F589A"/>
    <w:rsid w:val="1B6B6D42"/>
    <w:rsid w:val="1B6E26C3"/>
    <w:rsid w:val="1B7C5E2D"/>
    <w:rsid w:val="1B7F4776"/>
    <w:rsid w:val="1B862808"/>
    <w:rsid w:val="1BA809D0"/>
    <w:rsid w:val="1C2564C4"/>
    <w:rsid w:val="1C4C76C0"/>
    <w:rsid w:val="1C5A43C0"/>
    <w:rsid w:val="1C6263EB"/>
    <w:rsid w:val="1C673348"/>
    <w:rsid w:val="1C783C72"/>
    <w:rsid w:val="1C786E84"/>
    <w:rsid w:val="1C913B5A"/>
    <w:rsid w:val="1CC47A8B"/>
    <w:rsid w:val="1D1A58FD"/>
    <w:rsid w:val="1D1A76AB"/>
    <w:rsid w:val="1D1C78C7"/>
    <w:rsid w:val="1D336867"/>
    <w:rsid w:val="1D3A04E6"/>
    <w:rsid w:val="1D412E8A"/>
    <w:rsid w:val="1D465D8B"/>
    <w:rsid w:val="1D5A1553"/>
    <w:rsid w:val="1D5F0B14"/>
    <w:rsid w:val="1D6D1ED1"/>
    <w:rsid w:val="1D8669FF"/>
    <w:rsid w:val="1D9A4E1B"/>
    <w:rsid w:val="1DB84A55"/>
    <w:rsid w:val="1DCA4D45"/>
    <w:rsid w:val="1DCD76E4"/>
    <w:rsid w:val="1DE24180"/>
    <w:rsid w:val="1E043653"/>
    <w:rsid w:val="1E054EC0"/>
    <w:rsid w:val="1E1862E1"/>
    <w:rsid w:val="1E450758"/>
    <w:rsid w:val="1E5E54E8"/>
    <w:rsid w:val="1E9B09C4"/>
    <w:rsid w:val="1EE118D6"/>
    <w:rsid w:val="1EE937D9"/>
    <w:rsid w:val="1EEB7551"/>
    <w:rsid w:val="1EF06916"/>
    <w:rsid w:val="1F186FC4"/>
    <w:rsid w:val="1F1A3993"/>
    <w:rsid w:val="1F274302"/>
    <w:rsid w:val="1F9A2D26"/>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869F4"/>
    <w:rsid w:val="215F7D83"/>
    <w:rsid w:val="21613AFB"/>
    <w:rsid w:val="217168AF"/>
    <w:rsid w:val="21A60944"/>
    <w:rsid w:val="21A97250"/>
    <w:rsid w:val="21B20992"/>
    <w:rsid w:val="21DD3E1D"/>
    <w:rsid w:val="220B5C2A"/>
    <w:rsid w:val="22547305"/>
    <w:rsid w:val="225E4709"/>
    <w:rsid w:val="22765384"/>
    <w:rsid w:val="22992D9E"/>
    <w:rsid w:val="22AB4473"/>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7A62A6"/>
    <w:rsid w:val="258B7398"/>
    <w:rsid w:val="259D70CC"/>
    <w:rsid w:val="25A44C1D"/>
    <w:rsid w:val="25B85DB9"/>
    <w:rsid w:val="25EB7E37"/>
    <w:rsid w:val="260D4CD7"/>
    <w:rsid w:val="26134035"/>
    <w:rsid w:val="261D4AB8"/>
    <w:rsid w:val="26355556"/>
    <w:rsid w:val="263C6E3D"/>
    <w:rsid w:val="26500679"/>
    <w:rsid w:val="266F6CBA"/>
    <w:rsid w:val="26730698"/>
    <w:rsid w:val="268B161A"/>
    <w:rsid w:val="26A46307"/>
    <w:rsid w:val="271A072E"/>
    <w:rsid w:val="273C41A9"/>
    <w:rsid w:val="276E6F72"/>
    <w:rsid w:val="27815548"/>
    <w:rsid w:val="27A307D3"/>
    <w:rsid w:val="27A504B9"/>
    <w:rsid w:val="27B30E28"/>
    <w:rsid w:val="27C46B92"/>
    <w:rsid w:val="27CE1C00"/>
    <w:rsid w:val="27FF7BCA"/>
    <w:rsid w:val="2815563F"/>
    <w:rsid w:val="283A09CA"/>
    <w:rsid w:val="285919D0"/>
    <w:rsid w:val="287F0A51"/>
    <w:rsid w:val="288D1679"/>
    <w:rsid w:val="2890116A"/>
    <w:rsid w:val="28980CD4"/>
    <w:rsid w:val="28AC5BB5"/>
    <w:rsid w:val="28DC4131"/>
    <w:rsid w:val="28F65471"/>
    <w:rsid w:val="290C6A42"/>
    <w:rsid w:val="291161A5"/>
    <w:rsid w:val="291B6C85"/>
    <w:rsid w:val="294D59F3"/>
    <w:rsid w:val="29643845"/>
    <w:rsid w:val="298578A9"/>
    <w:rsid w:val="298A5BB9"/>
    <w:rsid w:val="298E7457"/>
    <w:rsid w:val="29AE1C3C"/>
    <w:rsid w:val="29CC2DAF"/>
    <w:rsid w:val="29D749F5"/>
    <w:rsid w:val="29E1421C"/>
    <w:rsid w:val="29EE77FA"/>
    <w:rsid w:val="2A077209"/>
    <w:rsid w:val="2A077678"/>
    <w:rsid w:val="2A0B3707"/>
    <w:rsid w:val="2A50295E"/>
    <w:rsid w:val="2A880099"/>
    <w:rsid w:val="2ADB2A24"/>
    <w:rsid w:val="2AED2464"/>
    <w:rsid w:val="2B0A1369"/>
    <w:rsid w:val="2B2A7653"/>
    <w:rsid w:val="2B4A1AA4"/>
    <w:rsid w:val="2B702EC5"/>
    <w:rsid w:val="2B801FE3"/>
    <w:rsid w:val="2B8E762A"/>
    <w:rsid w:val="2B960845"/>
    <w:rsid w:val="2BA3027D"/>
    <w:rsid w:val="2BBC58A8"/>
    <w:rsid w:val="2BC76DFE"/>
    <w:rsid w:val="2BCC1403"/>
    <w:rsid w:val="2BDA4BD6"/>
    <w:rsid w:val="2BF81500"/>
    <w:rsid w:val="2C154E67"/>
    <w:rsid w:val="2C1D2455"/>
    <w:rsid w:val="2C2449C3"/>
    <w:rsid w:val="2C5801F0"/>
    <w:rsid w:val="2C645A78"/>
    <w:rsid w:val="2C721392"/>
    <w:rsid w:val="2C802274"/>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796A4D"/>
    <w:rsid w:val="2EA63495"/>
    <w:rsid w:val="2EE1627B"/>
    <w:rsid w:val="2EED0D92"/>
    <w:rsid w:val="2F0106CB"/>
    <w:rsid w:val="2F39590F"/>
    <w:rsid w:val="2F3F11F4"/>
    <w:rsid w:val="2F51636D"/>
    <w:rsid w:val="2F6E0CEC"/>
    <w:rsid w:val="2F9652B7"/>
    <w:rsid w:val="2F996B56"/>
    <w:rsid w:val="2FA31782"/>
    <w:rsid w:val="2FAD2601"/>
    <w:rsid w:val="2FB1AED9"/>
    <w:rsid w:val="2FCB1ED7"/>
    <w:rsid w:val="2FF4352E"/>
    <w:rsid w:val="30093BF4"/>
    <w:rsid w:val="302040C9"/>
    <w:rsid w:val="304C0A2C"/>
    <w:rsid w:val="30580FCA"/>
    <w:rsid w:val="305B35A4"/>
    <w:rsid w:val="305B7CA2"/>
    <w:rsid w:val="30690412"/>
    <w:rsid w:val="3069477A"/>
    <w:rsid w:val="30A65BBD"/>
    <w:rsid w:val="30E72737"/>
    <w:rsid w:val="3110349D"/>
    <w:rsid w:val="31533DAF"/>
    <w:rsid w:val="31534F2B"/>
    <w:rsid w:val="317D5181"/>
    <w:rsid w:val="318E34F3"/>
    <w:rsid w:val="319A7B18"/>
    <w:rsid w:val="31A1215D"/>
    <w:rsid w:val="31D22884"/>
    <w:rsid w:val="31E74BFA"/>
    <w:rsid w:val="31EB5AA9"/>
    <w:rsid w:val="325F217A"/>
    <w:rsid w:val="32C95ED6"/>
    <w:rsid w:val="32FD564D"/>
    <w:rsid w:val="330C487E"/>
    <w:rsid w:val="332B5D17"/>
    <w:rsid w:val="333F2823"/>
    <w:rsid w:val="337D1CAA"/>
    <w:rsid w:val="33972CEF"/>
    <w:rsid w:val="33BA52ED"/>
    <w:rsid w:val="33C323F3"/>
    <w:rsid w:val="33D4015C"/>
    <w:rsid w:val="34026DCD"/>
    <w:rsid w:val="34086058"/>
    <w:rsid w:val="340C3D9A"/>
    <w:rsid w:val="341B2A3F"/>
    <w:rsid w:val="342310E4"/>
    <w:rsid w:val="346314E0"/>
    <w:rsid w:val="34694FD0"/>
    <w:rsid w:val="346D0B79"/>
    <w:rsid w:val="347F6B2D"/>
    <w:rsid w:val="349D49F2"/>
    <w:rsid w:val="34AC5E7C"/>
    <w:rsid w:val="34B87FA7"/>
    <w:rsid w:val="34C33809"/>
    <w:rsid w:val="34C370F0"/>
    <w:rsid w:val="34C74867"/>
    <w:rsid w:val="34CE423F"/>
    <w:rsid w:val="34DE375D"/>
    <w:rsid w:val="34E34C80"/>
    <w:rsid w:val="35020CF9"/>
    <w:rsid w:val="35126DD7"/>
    <w:rsid w:val="35202106"/>
    <w:rsid w:val="35480E7D"/>
    <w:rsid w:val="355A35E4"/>
    <w:rsid w:val="355F7EFA"/>
    <w:rsid w:val="359009FB"/>
    <w:rsid w:val="3594018D"/>
    <w:rsid w:val="35AB3590"/>
    <w:rsid w:val="35B50461"/>
    <w:rsid w:val="35D70C63"/>
    <w:rsid w:val="36146F36"/>
    <w:rsid w:val="3619279E"/>
    <w:rsid w:val="361E77EA"/>
    <w:rsid w:val="365B08E5"/>
    <w:rsid w:val="366D6055"/>
    <w:rsid w:val="369E5026"/>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5A36A4"/>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A35C8"/>
    <w:rsid w:val="3A6F48EC"/>
    <w:rsid w:val="3A775CE5"/>
    <w:rsid w:val="3AAD1707"/>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BEB40E5"/>
    <w:rsid w:val="3C0B53D0"/>
    <w:rsid w:val="3C1274D6"/>
    <w:rsid w:val="3C2123AD"/>
    <w:rsid w:val="3C2302D4"/>
    <w:rsid w:val="3C357C06"/>
    <w:rsid w:val="3C4636AC"/>
    <w:rsid w:val="3C5A766D"/>
    <w:rsid w:val="3C990195"/>
    <w:rsid w:val="3C9B5C70"/>
    <w:rsid w:val="3CA737D7"/>
    <w:rsid w:val="3CA971FF"/>
    <w:rsid w:val="3CD932CC"/>
    <w:rsid w:val="3CDF5803"/>
    <w:rsid w:val="3CE50A74"/>
    <w:rsid w:val="3D2070B3"/>
    <w:rsid w:val="3D6A38DF"/>
    <w:rsid w:val="3D726731"/>
    <w:rsid w:val="3D9A2417"/>
    <w:rsid w:val="3DDD2303"/>
    <w:rsid w:val="3DED7FBA"/>
    <w:rsid w:val="3DF00289"/>
    <w:rsid w:val="3DF338D5"/>
    <w:rsid w:val="3E0C2BE9"/>
    <w:rsid w:val="3E131B32"/>
    <w:rsid w:val="3E3F2FBE"/>
    <w:rsid w:val="3E52138E"/>
    <w:rsid w:val="3E774506"/>
    <w:rsid w:val="3E807CD4"/>
    <w:rsid w:val="3EB05C6A"/>
    <w:rsid w:val="3EC44811"/>
    <w:rsid w:val="3ED7339E"/>
    <w:rsid w:val="3EEF26A0"/>
    <w:rsid w:val="3EF94F1B"/>
    <w:rsid w:val="3F086759"/>
    <w:rsid w:val="3F1308C7"/>
    <w:rsid w:val="3F2B6B31"/>
    <w:rsid w:val="3F3E5A5E"/>
    <w:rsid w:val="3F6F1681"/>
    <w:rsid w:val="3F763AE5"/>
    <w:rsid w:val="3F8F3AD1"/>
    <w:rsid w:val="3FA51717"/>
    <w:rsid w:val="3FB3156E"/>
    <w:rsid w:val="3FB377C0"/>
    <w:rsid w:val="3FB80293"/>
    <w:rsid w:val="3FBD063E"/>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93128C"/>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102FB"/>
    <w:rsid w:val="43C45BE9"/>
    <w:rsid w:val="43D877F5"/>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860730"/>
    <w:rsid w:val="47C23E75"/>
    <w:rsid w:val="47C4711A"/>
    <w:rsid w:val="47CE35B6"/>
    <w:rsid w:val="47D553C9"/>
    <w:rsid w:val="47D64E3B"/>
    <w:rsid w:val="47D77DC3"/>
    <w:rsid w:val="47F701A1"/>
    <w:rsid w:val="48206EC5"/>
    <w:rsid w:val="48425B85"/>
    <w:rsid w:val="48573151"/>
    <w:rsid w:val="48590132"/>
    <w:rsid w:val="485B6F56"/>
    <w:rsid w:val="486C2E58"/>
    <w:rsid w:val="489D7A2B"/>
    <w:rsid w:val="48A73C3A"/>
    <w:rsid w:val="48BB02CE"/>
    <w:rsid w:val="48BF1666"/>
    <w:rsid w:val="48C91E02"/>
    <w:rsid w:val="48E44E8E"/>
    <w:rsid w:val="48EA5297"/>
    <w:rsid w:val="490D6193"/>
    <w:rsid w:val="49344461"/>
    <w:rsid w:val="496D2E43"/>
    <w:rsid w:val="496F1724"/>
    <w:rsid w:val="497F0713"/>
    <w:rsid w:val="49976543"/>
    <w:rsid w:val="499B2377"/>
    <w:rsid w:val="49B52386"/>
    <w:rsid w:val="49D40A5E"/>
    <w:rsid w:val="4A056E6A"/>
    <w:rsid w:val="4A294FFD"/>
    <w:rsid w:val="4A330784"/>
    <w:rsid w:val="4A3931DF"/>
    <w:rsid w:val="4A576648"/>
    <w:rsid w:val="4A802994"/>
    <w:rsid w:val="4A8204BA"/>
    <w:rsid w:val="4A91694F"/>
    <w:rsid w:val="4A9401EE"/>
    <w:rsid w:val="4A965D14"/>
    <w:rsid w:val="4AA91EEB"/>
    <w:rsid w:val="4AAB25EA"/>
    <w:rsid w:val="4ACC3E2B"/>
    <w:rsid w:val="4AD90875"/>
    <w:rsid w:val="4AD93E52"/>
    <w:rsid w:val="4ADB7BCB"/>
    <w:rsid w:val="4B1D5FED"/>
    <w:rsid w:val="4B2664A0"/>
    <w:rsid w:val="4B292E9E"/>
    <w:rsid w:val="4B410375"/>
    <w:rsid w:val="4B577346"/>
    <w:rsid w:val="4B8E5C65"/>
    <w:rsid w:val="4B8F611F"/>
    <w:rsid w:val="4BC512CC"/>
    <w:rsid w:val="4CA16E18"/>
    <w:rsid w:val="4CAC5CC3"/>
    <w:rsid w:val="4CB03392"/>
    <w:rsid w:val="4CC15B9A"/>
    <w:rsid w:val="4CCE742F"/>
    <w:rsid w:val="4CEC4088"/>
    <w:rsid w:val="4D087E01"/>
    <w:rsid w:val="4D111FCA"/>
    <w:rsid w:val="4D144360"/>
    <w:rsid w:val="4D176E22"/>
    <w:rsid w:val="4D1936FE"/>
    <w:rsid w:val="4D7B7443"/>
    <w:rsid w:val="4D7D31BB"/>
    <w:rsid w:val="4D932C89"/>
    <w:rsid w:val="4DED2C00"/>
    <w:rsid w:val="4E1F107E"/>
    <w:rsid w:val="4E3B72FE"/>
    <w:rsid w:val="4E480880"/>
    <w:rsid w:val="4E7A4E88"/>
    <w:rsid w:val="4E8567CB"/>
    <w:rsid w:val="4E980685"/>
    <w:rsid w:val="4E9B7D9D"/>
    <w:rsid w:val="4EDE6BB6"/>
    <w:rsid w:val="4EE75DD3"/>
    <w:rsid w:val="4EED611E"/>
    <w:rsid w:val="4EF4576E"/>
    <w:rsid w:val="4EFA31E8"/>
    <w:rsid w:val="4EFD473B"/>
    <w:rsid w:val="4EFE20DA"/>
    <w:rsid w:val="4F2C7509"/>
    <w:rsid w:val="4F43655C"/>
    <w:rsid w:val="4F4421E2"/>
    <w:rsid w:val="4F512177"/>
    <w:rsid w:val="4F7800DE"/>
    <w:rsid w:val="4FAA42E2"/>
    <w:rsid w:val="4FB337A8"/>
    <w:rsid w:val="4FB56C3C"/>
    <w:rsid w:val="4FD317B8"/>
    <w:rsid w:val="4FD77B44"/>
    <w:rsid w:val="4FDC4E22"/>
    <w:rsid w:val="4FE63299"/>
    <w:rsid w:val="4FFE48C8"/>
    <w:rsid w:val="50096F88"/>
    <w:rsid w:val="501A2F43"/>
    <w:rsid w:val="505521CD"/>
    <w:rsid w:val="509E1DC6"/>
    <w:rsid w:val="50AB73F8"/>
    <w:rsid w:val="50F012F8"/>
    <w:rsid w:val="51087240"/>
    <w:rsid w:val="5109330E"/>
    <w:rsid w:val="511C70A0"/>
    <w:rsid w:val="513A2B46"/>
    <w:rsid w:val="514C0BA2"/>
    <w:rsid w:val="515E6E0C"/>
    <w:rsid w:val="516B39C7"/>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A604DF"/>
    <w:rsid w:val="54AC5365"/>
    <w:rsid w:val="54B35714"/>
    <w:rsid w:val="54B53318"/>
    <w:rsid w:val="54C94F38"/>
    <w:rsid w:val="54D901BE"/>
    <w:rsid w:val="54F12E40"/>
    <w:rsid w:val="54FB1595"/>
    <w:rsid w:val="55006BAB"/>
    <w:rsid w:val="550146D2"/>
    <w:rsid w:val="552873EA"/>
    <w:rsid w:val="5536081F"/>
    <w:rsid w:val="554271C4"/>
    <w:rsid w:val="554C1DF1"/>
    <w:rsid w:val="558E2409"/>
    <w:rsid w:val="558F1CDD"/>
    <w:rsid w:val="55A45A9F"/>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6504E"/>
    <w:rsid w:val="57B036BF"/>
    <w:rsid w:val="57DE6F4C"/>
    <w:rsid w:val="585938DC"/>
    <w:rsid w:val="586A08FB"/>
    <w:rsid w:val="586F35A6"/>
    <w:rsid w:val="58901341"/>
    <w:rsid w:val="589B5A12"/>
    <w:rsid w:val="589B7148"/>
    <w:rsid w:val="58A0731D"/>
    <w:rsid w:val="58B22C74"/>
    <w:rsid w:val="58D5289E"/>
    <w:rsid w:val="58EB1921"/>
    <w:rsid w:val="59351B2D"/>
    <w:rsid w:val="594352B9"/>
    <w:rsid w:val="594B6864"/>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4B66A7"/>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611272"/>
    <w:rsid w:val="5D6677C8"/>
    <w:rsid w:val="5D717D54"/>
    <w:rsid w:val="5D823E2B"/>
    <w:rsid w:val="5D916F3A"/>
    <w:rsid w:val="5DA30DE2"/>
    <w:rsid w:val="5DA87DE0"/>
    <w:rsid w:val="5DDC5CDC"/>
    <w:rsid w:val="5DE11AE0"/>
    <w:rsid w:val="5DEB5F1F"/>
    <w:rsid w:val="5DEF5A0F"/>
    <w:rsid w:val="5E04010E"/>
    <w:rsid w:val="5E156056"/>
    <w:rsid w:val="5E39312E"/>
    <w:rsid w:val="5E44774B"/>
    <w:rsid w:val="5E4E3C88"/>
    <w:rsid w:val="5E563CE0"/>
    <w:rsid w:val="5E810C58"/>
    <w:rsid w:val="5E8C37C6"/>
    <w:rsid w:val="5E923424"/>
    <w:rsid w:val="5E987E55"/>
    <w:rsid w:val="5EA100BC"/>
    <w:rsid w:val="5EB629D1"/>
    <w:rsid w:val="5ED36154"/>
    <w:rsid w:val="5EEB267A"/>
    <w:rsid w:val="5F0854AF"/>
    <w:rsid w:val="5F13572D"/>
    <w:rsid w:val="5F2F74DC"/>
    <w:rsid w:val="5F6661A5"/>
    <w:rsid w:val="5F895313"/>
    <w:rsid w:val="5FA236FB"/>
    <w:rsid w:val="5FA52A80"/>
    <w:rsid w:val="5FA60EEC"/>
    <w:rsid w:val="5FA665A1"/>
    <w:rsid w:val="5FDC139B"/>
    <w:rsid w:val="5FE330FB"/>
    <w:rsid w:val="5FE570CA"/>
    <w:rsid w:val="5FE84E0C"/>
    <w:rsid w:val="5FF20CB6"/>
    <w:rsid w:val="60003F04"/>
    <w:rsid w:val="601A70A7"/>
    <w:rsid w:val="605528D6"/>
    <w:rsid w:val="60561DC8"/>
    <w:rsid w:val="60662F41"/>
    <w:rsid w:val="60C05441"/>
    <w:rsid w:val="60E75EAA"/>
    <w:rsid w:val="60F4333C"/>
    <w:rsid w:val="60F449B2"/>
    <w:rsid w:val="61092553"/>
    <w:rsid w:val="610C68D8"/>
    <w:rsid w:val="610F0880"/>
    <w:rsid w:val="613568C0"/>
    <w:rsid w:val="614766DE"/>
    <w:rsid w:val="615A3AE7"/>
    <w:rsid w:val="61774C63"/>
    <w:rsid w:val="61A009AB"/>
    <w:rsid w:val="61AD00BB"/>
    <w:rsid w:val="61B431F8"/>
    <w:rsid w:val="61EA2AE9"/>
    <w:rsid w:val="62255EA3"/>
    <w:rsid w:val="6232198F"/>
    <w:rsid w:val="62375D0F"/>
    <w:rsid w:val="627A6223"/>
    <w:rsid w:val="627C183B"/>
    <w:rsid w:val="627D0A2E"/>
    <w:rsid w:val="628F2C23"/>
    <w:rsid w:val="6297152E"/>
    <w:rsid w:val="62DA00CF"/>
    <w:rsid w:val="62E0626E"/>
    <w:rsid w:val="62EC694C"/>
    <w:rsid w:val="62F11A25"/>
    <w:rsid w:val="62F12229"/>
    <w:rsid w:val="62F93168"/>
    <w:rsid w:val="631420A6"/>
    <w:rsid w:val="63174D32"/>
    <w:rsid w:val="631C1689"/>
    <w:rsid w:val="63644D67"/>
    <w:rsid w:val="63900C24"/>
    <w:rsid w:val="63BC6393"/>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047E9"/>
    <w:rsid w:val="67010FAE"/>
    <w:rsid w:val="670709C9"/>
    <w:rsid w:val="67091FF8"/>
    <w:rsid w:val="671464E6"/>
    <w:rsid w:val="67391B54"/>
    <w:rsid w:val="673A7076"/>
    <w:rsid w:val="67726DC2"/>
    <w:rsid w:val="677C52C0"/>
    <w:rsid w:val="67CC3565"/>
    <w:rsid w:val="67F30628"/>
    <w:rsid w:val="6804110B"/>
    <w:rsid w:val="681004D4"/>
    <w:rsid w:val="681542C4"/>
    <w:rsid w:val="683C3591"/>
    <w:rsid w:val="68694610"/>
    <w:rsid w:val="689C6E7A"/>
    <w:rsid w:val="68A41113"/>
    <w:rsid w:val="68E74955"/>
    <w:rsid w:val="68F81CF6"/>
    <w:rsid w:val="69025553"/>
    <w:rsid w:val="69313380"/>
    <w:rsid w:val="6933534A"/>
    <w:rsid w:val="69382BCC"/>
    <w:rsid w:val="69407A67"/>
    <w:rsid w:val="695D5F23"/>
    <w:rsid w:val="69635503"/>
    <w:rsid w:val="698F5362"/>
    <w:rsid w:val="69D80288"/>
    <w:rsid w:val="69DA6AD0"/>
    <w:rsid w:val="6A2F459A"/>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B42046"/>
    <w:rsid w:val="6BD62942"/>
    <w:rsid w:val="6BFD579B"/>
    <w:rsid w:val="6C152AE5"/>
    <w:rsid w:val="6C1E4825"/>
    <w:rsid w:val="6C272818"/>
    <w:rsid w:val="6C6E6699"/>
    <w:rsid w:val="6C7A2647"/>
    <w:rsid w:val="6C7D4371"/>
    <w:rsid w:val="6C8934D3"/>
    <w:rsid w:val="6C9724E6"/>
    <w:rsid w:val="6C974908"/>
    <w:rsid w:val="6CA60F7E"/>
    <w:rsid w:val="6CB322FE"/>
    <w:rsid w:val="6CD00DD4"/>
    <w:rsid w:val="6D0648F8"/>
    <w:rsid w:val="6D30551D"/>
    <w:rsid w:val="6D5D6CA1"/>
    <w:rsid w:val="6D602A26"/>
    <w:rsid w:val="6D68000B"/>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23BAC"/>
    <w:rsid w:val="6EB31AE4"/>
    <w:rsid w:val="6EC02A71"/>
    <w:rsid w:val="6EC96996"/>
    <w:rsid w:val="6F03756C"/>
    <w:rsid w:val="6F053705"/>
    <w:rsid w:val="6F235B2A"/>
    <w:rsid w:val="6F307C36"/>
    <w:rsid w:val="6F545DCB"/>
    <w:rsid w:val="6F9079A9"/>
    <w:rsid w:val="6F963F3C"/>
    <w:rsid w:val="6FAF4FFE"/>
    <w:rsid w:val="6FC34F4E"/>
    <w:rsid w:val="6FE832A7"/>
    <w:rsid w:val="7005505B"/>
    <w:rsid w:val="701A7C8E"/>
    <w:rsid w:val="70316C3E"/>
    <w:rsid w:val="70360F37"/>
    <w:rsid w:val="7036127C"/>
    <w:rsid w:val="706A4DE8"/>
    <w:rsid w:val="706E310B"/>
    <w:rsid w:val="706F5A59"/>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415A14"/>
    <w:rsid w:val="72516112"/>
    <w:rsid w:val="72642AC5"/>
    <w:rsid w:val="72655E48"/>
    <w:rsid w:val="7278201F"/>
    <w:rsid w:val="727D3EC1"/>
    <w:rsid w:val="728B7A1B"/>
    <w:rsid w:val="728C455B"/>
    <w:rsid w:val="72991BA2"/>
    <w:rsid w:val="72C57656"/>
    <w:rsid w:val="72C911B9"/>
    <w:rsid w:val="72CA7307"/>
    <w:rsid w:val="72D10225"/>
    <w:rsid w:val="72D336FA"/>
    <w:rsid w:val="72D55DFF"/>
    <w:rsid w:val="730E125E"/>
    <w:rsid w:val="735E459D"/>
    <w:rsid w:val="73730B67"/>
    <w:rsid w:val="737317C0"/>
    <w:rsid w:val="737E18B7"/>
    <w:rsid w:val="739B5F04"/>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584D75"/>
    <w:rsid w:val="75800B89"/>
    <w:rsid w:val="75814997"/>
    <w:rsid w:val="75881DC8"/>
    <w:rsid w:val="758F0063"/>
    <w:rsid w:val="759058D2"/>
    <w:rsid w:val="75B570E6"/>
    <w:rsid w:val="75B62C3C"/>
    <w:rsid w:val="75C62406"/>
    <w:rsid w:val="75CD53E8"/>
    <w:rsid w:val="75CE6012"/>
    <w:rsid w:val="760E1811"/>
    <w:rsid w:val="761C4DE6"/>
    <w:rsid w:val="762F3A3B"/>
    <w:rsid w:val="76813CDB"/>
    <w:rsid w:val="76D67314"/>
    <w:rsid w:val="76E303E6"/>
    <w:rsid w:val="76E41A31"/>
    <w:rsid w:val="770D0200"/>
    <w:rsid w:val="77302EC9"/>
    <w:rsid w:val="777A05E8"/>
    <w:rsid w:val="7797301C"/>
    <w:rsid w:val="779C055E"/>
    <w:rsid w:val="77B05DB7"/>
    <w:rsid w:val="77CA24A3"/>
    <w:rsid w:val="77CB0E43"/>
    <w:rsid w:val="780F53D9"/>
    <w:rsid w:val="784D1858"/>
    <w:rsid w:val="786D2DBB"/>
    <w:rsid w:val="78762B5D"/>
    <w:rsid w:val="78EA0F9F"/>
    <w:rsid w:val="79415E38"/>
    <w:rsid w:val="794F5179"/>
    <w:rsid w:val="79621333"/>
    <w:rsid w:val="796C5D0E"/>
    <w:rsid w:val="79747688"/>
    <w:rsid w:val="79A149AA"/>
    <w:rsid w:val="79C45B4A"/>
    <w:rsid w:val="79DC10E6"/>
    <w:rsid w:val="79EF459A"/>
    <w:rsid w:val="79F8284F"/>
    <w:rsid w:val="7A2F7D9D"/>
    <w:rsid w:val="7A3A3D34"/>
    <w:rsid w:val="7A6C06BC"/>
    <w:rsid w:val="7A85177D"/>
    <w:rsid w:val="7A912356"/>
    <w:rsid w:val="7AC53928"/>
    <w:rsid w:val="7AD80C68"/>
    <w:rsid w:val="7AFE53E3"/>
    <w:rsid w:val="7B1A4BD7"/>
    <w:rsid w:val="7B2B3082"/>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403FFD"/>
    <w:rsid w:val="7C703D67"/>
    <w:rsid w:val="7C7750F6"/>
    <w:rsid w:val="7C790F05"/>
    <w:rsid w:val="7C8F243F"/>
    <w:rsid w:val="7CC2297D"/>
    <w:rsid w:val="7CC3658D"/>
    <w:rsid w:val="7CCF6CE0"/>
    <w:rsid w:val="7CF44998"/>
    <w:rsid w:val="7CF73522"/>
    <w:rsid w:val="7CF77FE5"/>
    <w:rsid w:val="7D3F0F69"/>
    <w:rsid w:val="7D40198C"/>
    <w:rsid w:val="7D4475BA"/>
    <w:rsid w:val="7D4F1BCF"/>
    <w:rsid w:val="7D51007D"/>
    <w:rsid w:val="7D5F7B71"/>
    <w:rsid w:val="7D6732A3"/>
    <w:rsid w:val="7D6E4798"/>
    <w:rsid w:val="7D7D37EF"/>
    <w:rsid w:val="7DA939D5"/>
    <w:rsid w:val="7DC97BD3"/>
    <w:rsid w:val="7DD07F4F"/>
    <w:rsid w:val="7DED6124"/>
    <w:rsid w:val="7E105802"/>
    <w:rsid w:val="7E143EB6"/>
    <w:rsid w:val="7E394D59"/>
    <w:rsid w:val="7E4159BB"/>
    <w:rsid w:val="7E813A79"/>
    <w:rsid w:val="7ECF1219"/>
    <w:rsid w:val="7ED160D1"/>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11167</Words>
  <Characters>15939</Characters>
  <Lines>460</Lines>
  <Paragraphs>129</Paragraphs>
  <TotalTime>0</TotalTime>
  <ScaleCrop>false</ScaleCrop>
  <LinksUpToDate>false</LinksUpToDate>
  <CharactersWithSpaces>16937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LT</cp:lastModifiedBy>
  <cp:lastPrinted>2022-06-08T19:12:00Z</cp:lastPrinted>
  <dcterms:modified xsi:type="dcterms:W3CDTF">2025-08-04T04:54:32Z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2052-12.1.0.22215</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